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652A76" w14:paraId="3ECE6C43" w14:textId="77777777" w:rsidTr="007E1D85">
        <w:tc>
          <w:tcPr>
            <w:tcW w:w="5211" w:type="dxa"/>
            <w:hideMark/>
          </w:tcPr>
          <w:p w14:paraId="4E209636" w14:textId="77777777" w:rsidR="007E1D85" w:rsidRPr="001540C6" w:rsidRDefault="007E1D85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532F7E84" w14:textId="77777777" w:rsidR="00523D82" w:rsidRPr="00652A76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652A76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6015732E" w14:textId="77777777" w:rsidR="00653617" w:rsidRPr="00652A76" w:rsidRDefault="00523D82" w:rsidP="00575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2A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 w:rsidRPr="00652A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652A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14:paraId="31F094C3" w14:textId="77777777" w:rsidR="00E56B69" w:rsidRPr="00652A76" w:rsidRDefault="007E702A" w:rsidP="00E56B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2A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РГУ </w:t>
            </w:r>
            <w:r w:rsidR="00E56B69" w:rsidRPr="00652A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«Комитет медицинского и фармацевтического контроля</w:t>
            </w:r>
          </w:p>
          <w:p w14:paraId="7587C9A3" w14:textId="77777777" w:rsidR="00E56B69" w:rsidRPr="00652A76" w:rsidRDefault="00E56B69" w:rsidP="00E56B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2A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Министерства здравоохранения </w:t>
            </w:r>
          </w:p>
          <w:p w14:paraId="754F7962" w14:textId="77777777" w:rsidR="004E00CA" w:rsidRPr="00652A76" w:rsidRDefault="00E56B69" w:rsidP="00E56B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2A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Казахстан</w:t>
            </w:r>
            <w:r w:rsidR="004515E3" w:rsidRPr="00652A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14:paraId="04F09885" w14:textId="302193AA" w:rsidR="00523D82" w:rsidRPr="00652A76" w:rsidRDefault="00523D82" w:rsidP="00E56B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2A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r w:rsidR="00054B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 w:rsidRPr="00652A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054B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09   </w:t>
            </w:r>
            <w:r w:rsidRPr="00652A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054B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23 </w:t>
            </w:r>
            <w:r w:rsidRPr="00652A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1D17D9CB" w14:textId="74B9DFE4" w:rsidR="00523D82" w:rsidRPr="00054BB2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652A76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  <w:r w:rsidR="00054BB2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>N067572</w:t>
            </w:r>
          </w:p>
        </w:tc>
        <w:tc>
          <w:tcPr>
            <w:tcW w:w="4536" w:type="dxa"/>
          </w:tcPr>
          <w:p w14:paraId="370B126B" w14:textId="77777777" w:rsidR="00523D82" w:rsidRPr="00652A76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652A76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652A76" w14:paraId="4E933D12" w14:textId="77777777" w:rsidTr="007E1D85">
        <w:tc>
          <w:tcPr>
            <w:tcW w:w="5211" w:type="dxa"/>
          </w:tcPr>
          <w:p w14:paraId="101C1491" w14:textId="77777777" w:rsidR="00523D82" w:rsidRPr="00652A76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04DCA6E" w14:textId="77777777" w:rsidR="00523D82" w:rsidRPr="00652A76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635BA9F0" w14:textId="77777777" w:rsidR="00523D82" w:rsidRPr="00652A76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  <w:tr w:rsidR="00523D82" w:rsidRPr="00652A76" w14:paraId="5CAF5B99" w14:textId="77777777" w:rsidTr="007E1D85">
        <w:trPr>
          <w:trHeight w:val="80"/>
        </w:trPr>
        <w:tc>
          <w:tcPr>
            <w:tcW w:w="5211" w:type="dxa"/>
          </w:tcPr>
          <w:p w14:paraId="019AB010" w14:textId="77777777" w:rsidR="00523D82" w:rsidRPr="00652A76" w:rsidRDefault="00523D82" w:rsidP="003662F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6610518" w14:textId="77777777" w:rsidR="00523D82" w:rsidRPr="00652A76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730D34CC" w14:textId="77777777" w:rsidR="00523D82" w:rsidRPr="00652A76" w:rsidRDefault="00523D82" w:rsidP="00C566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62F1" w:rsidRPr="00652A76" w14:paraId="6A975B78" w14:textId="77777777" w:rsidTr="003662F1">
        <w:trPr>
          <w:trHeight w:val="80"/>
        </w:trPr>
        <w:tc>
          <w:tcPr>
            <w:tcW w:w="14283" w:type="dxa"/>
            <w:gridSpan w:val="3"/>
          </w:tcPr>
          <w:p w14:paraId="4E59EAF3" w14:textId="77777777" w:rsidR="003662F1" w:rsidRPr="00652A76" w:rsidRDefault="003662F1" w:rsidP="00736B6C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14:paraId="4B9CF9B6" w14:textId="77777777" w:rsidR="00D76048" w:rsidRPr="00652A76" w:rsidRDefault="00D76048" w:rsidP="00931F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6024A344" w14:textId="77777777" w:rsidR="00D76048" w:rsidRPr="00652A76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789853F9" w14:textId="77777777" w:rsidR="00232642" w:rsidRPr="00652A76" w:rsidRDefault="00232642" w:rsidP="0065361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6DA635C" w14:textId="77777777" w:rsidR="002C76D7" w:rsidRPr="00652A76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0322631E" w14:textId="77777777" w:rsidR="002C76D7" w:rsidRPr="00931FA6" w:rsidRDefault="001540C6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>Флюкол-С</w:t>
      </w:r>
    </w:p>
    <w:p w14:paraId="59412D32" w14:textId="77777777" w:rsidR="00234D39" w:rsidRPr="00931FA6" w:rsidRDefault="00234D39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6FB2F4" w14:textId="77777777" w:rsidR="002C76D7" w:rsidRPr="00652A76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3C3118AD" w14:textId="77777777" w:rsidR="002C76D7" w:rsidRPr="00652A76" w:rsidRDefault="001540C6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>Нет</w:t>
      </w:r>
    </w:p>
    <w:p w14:paraId="428C7D1D" w14:textId="77777777" w:rsidR="00234D39" w:rsidRPr="00652A76" w:rsidRDefault="00234D39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A89A54" w14:textId="77777777" w:rsidR="00D76048" w:rsidRPr="00652A76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3935455C" w14:textId="77777777" w:rsidR="00B01011" w:rsidRPr="00652A76" w:rsidRDefault="001540C6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>Таблетки, покрытые пленочной оболочкой</w:t>
      </w:r>
    </w:p>
    <w:p w14:paraId="4BB2A0C7" w14:textId="77777777" w:rsidR="00234D39" w:rsidRPr="00652A76" w:rsidRDefault="00234D39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CEE1A4" w14:textId="77777777" w:rsidR="002C1660" w:rsidRPr="00652A76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652A76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652A76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652A76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01B300E9" w14:textId="77777777" w:rsidR="0010720B" w:rsidRPr="00652A76" w:rsidRDefault="00F74322" w:rsidP="0010720B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652A76">
        <w:rPr>
          <w:rFonts w:ascii="Times New Roman" w:hAnsi="Times New Roman"/>
          <w:color w:val="000000"/>
          <w:sz w:val="28"/>
          <w:szCs w:val="28"/>
        </w:rPr>
        <w:t>Нервная система</w:t>
      </w:r>
      <w:r w:rsidR="0010720B" w:rsidRPr="00652A76">
        <w:rPr>
          <w:rFonts w:ascii="Times New Roman" w:hAnsi="Times New Roman"/>
          <w:color w:val="000000"/>
          <w:sz w:val="28"/>
          <w:szCs w:val="28"/>
        </w:rPr>
        <w:t xml:space="preserve">. Анальгетики. </w:t>
      </w:r>
      <w:r w:rsidR="00964283" w:rsidRPr="00652A76">
        <w:rPr>
          <w:rFonts w:ascii="Times New Roman" w:hAnsi="Times New Roman"/>
          <w:color w:val="000000"/>
          <w:sz w:val="28"/>
          <w:szCs w:val="28"/>
        </w:rPr>
        <w:t>Д</w:t>
      </w:r>
      <w:r w:rsidR="0010720B" w:rsidRPr="00652A76">
        <w:rPr>
          <w:rFonts w:ascii="Times New Roman" w:hAnsi="Times New Roman"/>
          <w:color w:val="000000"/>
          <w:sz w:val="28"/>
          <w:szCs w:val="28"/>
        </w:rPr>
        <w:t>ругие</w:t>
      </w:r>
      <w:r w:rsidR="00964283" w:rsidRPr="00652A76">
        <w:t xml:space="preserve"> </w:t>
      </w:r>
      <w:r w:rsidR="00964283" w:rsidRPr="00652A76">
        <w:rPr>
          <w:rFonts w:ascii="Times New Roman" w:hAnsi="Times New Roman"/>
          <w:color w:val="000000"/>
          <w:sz w:val="28"/>
          <w:szCs w:val="28"/>
        </w:rPr>
        <w:t xml:space="preserve">анальгетики и антипиретики. Анилиды. Парацетамол, </w:t>
      </w:r>
      <w:r w:rsidR="0010720B" w:rsidRPr="00652A76">
        <w:rPr>
          <w:rFonts w:ascii="Times New Roman" w:hAnsi="Times New Roman"/>
          <w:color w:val="000000"/>
          <w:sz w:val="28"/>
          <w:szCs w:val="28"/>
        </w:rPr>
        <w:t xml:space="preserve">комбинации </w:t>
      </w:r>
      <w:r w:rsidR="00964283" w:rsidRPr="00652A76">
        <w:rPr>
          <w:rFonts w:ascii="Times New Roman" w:hAnsi="Times New Roman"/>
          <w:color w:val="000000"/>
          <w:sz w:val="28"/>
          <w:szCs w:val="28"/>
        </w:rPr>
        <w:t>исключая психолептики</w:t>
      </w:r>
      <w:r w:rsidR="0010720B" w:rsidRPr="00652A76">
        <w:rPr>
          <w:rFonts w:ascii="Times New Roman" w:hAnsi="Times New Roman"/>
          <w:color w:val="000000"/>
          <w:sz w:val="28"/>
          <w:szCs w:val="28"/>
        </w:rPr>
        <w:t>.</w:t>
      </w:r>
    </w:p>
    <w:p w14:paraId="4B36A430" w14:textId="77777777" w:rsidR="0010720B" w:rsidRPr="00652A76" w:rsidRDefault="0010720B" w:rsidP="0010720B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652A76">
        <w:rPr>
          <w:rFonts w:ascii="Times New Roman" w:hAnsi="Times New Roman"/>
          <w:color w:val="000000"/>
          <w:sz w:val="28"/>
          <w:szCs w:val="28"/>
        </w:rPr>
        <w:t>Код АТХ N02BЕ51</w:t>
      </w:r>
    </w:p>
    <w:p w14:paraId="0A45B277" w14:textId="77777777" w:rsidR="002C76D7" w:rsidRPr="00652A76" w:rsidRDefault="002C76D7" w:rsidP="0010720B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EDC2E5D" w14:textId="77777777" w:rsidR="005444B2" w:rsidRPr="00652A76" w:rsidRDefault="005444B2" w:rsidP="00496995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652A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496995" w:rsidRPr="00652A7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FEB62ED" w14:textId="77777777" w:rsidR="00844CE8" w:rsidRPr="00652A76" w:rsidRDefault="00496995" w:rsidP="001932BE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 xml:space="preserve">- </w:t>
      </w:r>
      <w:r w:rsidR="001932BE" w:rsidRPr="00652A76">
        <w:rPr>
          <w:rFonts w:ascii="Times New Roman" w:hAnsi="Times New Roman"/>
          <w:sz w:val="28"/>
          <w:szCs w:val="28"/>
          <w:lang w:val="kk-KZ"/>
        </w:rPr>
        <w:t>для облегчения</w:t>
      </w:r>
      <w:r w:rsidR="001932BE" w:rsidRPr="00652A76">
        <w:rPr>
          <w:rFonts w:ascii="Times New Roman" w:hAnsi="Times New Roman"/>
          <w:sz w:val="28"/>
          <w:szCs w:val="28"/>
        </w:rPr>
        <w:t xml:space="preserve"> симптомов </w:t>
      </w:r>
      <w:r w:rsidR="001932BE" w:rsidRPr="00652A76">
        <w:rPr>
          <w:rFonts w:ascii="Times New Roman" w:hAnsi="Times New Roman"/>
          <w:sz w:val="28"/>
          <w:szCs w:val="28"/>
          <w:lang w:val="kk-KZ"/>
        </w:rPr>
        <w:t>простуды</w:t>
      </w:r>
      <w:r w:rsidR="001932BE" w:rsidRPr="00652A76">
        <w:rPr>
          <w:rFonts w:ascii="Times New Roman" w:hAnsi="Times New Roman"/>
          <w:sz w:val="28"/>
          <w:szCs w:val="28"/>
        </w:rPr>
        <w:t xml:space="preserve"> и гриппа</w:t>
      </w:r>
    </w:p>
    <w:p w14:paraId="143F0055" w14:textId="77777777" w:rsidR="001932BE" w:rsidRPr="00652A76" w:rsidRDefault="001932BE" w:rsidP="001932BE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FFC7560" w14:textId="77777777" w:rsidR="00DB406A" w:rsidRPr="00652A76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232FBC11" w14:textId="77777777" w:rsidR="007D0E84" w:rsidRPr="00652A76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794EA9FF" w14:textId="77777777" w:rsidR="00496995" w:rsidRPr="00652A76" w:rsidRDefault="00496995" w:rsidP="00121DB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52A76">
        <w:rPr>
          <w:rFonts w:ascii="Times New Roman" w:hAnsi="Times New Roman"/>
          <w:sz w:val="28"/>
          <w:szCs w:val="24"/>
        </w:rPr>
        <w:t xml:space="preserve">- гиперчувствительность к </w:t>
      </w:r>
      <w:r w:rsidR="00121DB4" w:rsidRPr="00652A76">
        <w:rPr>
          <w:rFonts w:ascii="Times New Roman" w:hAnsi="Times New Roman"/>
          <w:sz w:val="28"/>
          <w:szCs w:val="24"/>
        </w:rPr>
        <w:t>парацетамолу, фенилэфрина гидрохлориду, терпингидрату, аскорбиновой кислоте или к любому из вспомогательных веществ</w:t>
      </w:r>
    </w:p>
    <w:p w14:paraId="59DC82F6" w14:textId="77777777" w:rsidR="00496995" w:rsidRPr="00652A76" w:rsidRDefault="00496995" w:rsidP="00496995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52A76">
        <w:rPr>
          <w:rFonts w:ascii="Times New Roman" w:hAnsi="Times New Roman"/>
          <w:sz w:val="28"/>
          <w:szCs w:val="24"/>
        </w:rPr>
        <w:t>- беременность и период лактации</w:t>
      </w:r>
    </w:p>
    <w:p w14:paraId="7B9903C9" w14:textId="77777777" w:rsidR="00496995" w:rsidRPr="00652A76" w:rsidRDefault="00496995" w:rsidP="00496995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52A76">
        <w:rPr>
          <w:rFonts w:ascii="Times New Roman" w:hAnsi="Times New Roman"/>
          <w:sz w:val="28"/>
          <w:szCs w:val="24"/>
        </w:rPr>
        <w:t>- гипертония</w:t>
      </w:r>
    </w:p>
    <w:p w14:paraId="38332FDB" w14:textId="77777777" w:rsidR="00496995" w:rsidRPr="00652A76" w:rsidRDefault="00496995" w:rsidP="00496995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52A76">
        <w:rPr>
          <w:rFonts w:ascii="Times New Roman" w:hAnsi="Times New Roman"/>
          <w:sz w:val="28"/>
          <w:szCs w:val="24"/>
        </w:rPr>
        <w:t>- гипертиреоз</w:t>
      </w:r>
    </w:p>
    <w:p w14:paraId="1EBFA586" w14:textId="77777777" w:rsidR="00496995" w:rsidRPr="00652A76" w:rsidRDefault="00496995" w:rsidP="00496995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52A76">
        <w:rPr>
          <w:rFonts w:ascii="Times New Roman" w:hAnsi="Times New Roman"/>
          <w:sz w:val="28"/>
          <w:szCs w:val="24"/>
        </w:rPr>
        <w:t>- сахарный диабет</w:t>
      </w:r>
    </w:p>
    <w:p w14:paraId="393DCBAA" w14:textId="77777777" w:rsidR="00496995" w:rsidRPr="00652A76" w:rsidRDefault="00496995" w:rsidP="00496995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52A76">
        <w:rPr>
          <w:rFonts w:ascii="Times New Roman" w:hAnsi="Times New Roman"/>
          <w:sz w:val="28"/>
          <w:szCs w:val="24"/>
        </w:rPr>
        <w:t>- сердечная недостаточность</w:t>
      </w:r>
    </w:p>
    <w:p w14:paraId="12BB0543" w14:textId="77777777" w:rsidR="00121DB4" w:rsidRPr="00652A76" w:rsidRDefault="00121DB4" w:rsidP="00496995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52A76">
        <w:rPr>
          <w:rFonts w:ascii="Times New Roman" w:hAnsi="Times New Roman"/>
          <w:sz w:val="28"/>
          <w:szCs w:val="24"/>
        </w:rPr>
        <w:t xml:space="preserve">- закрытоугольная глаукома </w:t>
      </w:r>
    </w:p>
    <w:p w14:paraId="2BC5A047" w14:textId="77777777" w:rsidR="00496995" w:rsidRPr="00652A76" w:rsidRDefault="00121DB4" w:rsidP="00496995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52A76">
        <w:rPr>
          <w:rFonts w:ascii="Times New Roman" w:hAnsi="Times New Roman"/>
          <w:sz w:val="28"/>
          <w:szCs w:val="24"/>
        </w:rPr>
        <w:t>-</w:t>
      </w:r>
      <w:r w:rsidR="00496995" w:rsidRPr="00652A76">
        <w:rPr>
          <w:rFonts w:ascii="Times New Roman" w:hAnsi="Times New Roman"/>
          <w:sz w:val="28"/>
          <w:szCs w:val="24"/>
        </w:rPr>
        <w:t xml:space="preserve"> феохромоцитома</w:t>
      </w:r>
    </w:p>
    <w:p w14:paraId="57A27B77" w14:textId="77777777" w:rsidR="00496995" w:rsidRPr="00652A76" w:rsidRDefault="00496995" w:rsidP="00496995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52A76">
        <w:rPr>
          <w:rFonts w:ascii="Times New Roman" w:hAnsi="Times New Roman"/>
          <w:sz w:val="28"/>
          <w:szCs w:val="24"/>
        </w:rPr>
        <w:t xml:space="preserve">- тяжелые нарушения функции печени или почек </w:t>
      </w:r>
    </w:p>
    <w:p w14:paraId="0F675C80" w14:textId="77777777" w:rsidR="00496995" w:rsidRPr="00652A76" w:rsidRDefault="00496995" w:rsidP="00496995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52A76">
        <w:rPr>
          <w:rFonts w:ascii="Times New Roman" w:hAnsi="Times New Roman"/>
          <w:sz w:val="28"/>
          <w:szCs w:val="24"/>
        </w:rPr>
        <w:lastRenderedPageBreak/>
        <w:t xml:space="preserve">- одновременный прием ингибиторов моноаминооксидазы (в том числе в период до 14 дней после отмены), трициклических антидепрессантов, </w:t>
      </w:r>
    </w:p>
    <w:p w14:paraId="0B544CEE" w14:textId="77777777" w:rsidR="00496995" w:rsidRPr="00652A76" w:rsidRDefault="00496995" w:rsidP="00496995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52A76">
        <w:rPr>
          <w:rFonts w:ascii="Times New Roman" w:hAnsi="Times New Roman"/>
          <w:sz w:val="28"/>
          <w:szCs w:val="24"/>
        </w:rPr>
        <w:t xml:space="preserve">  β-блокаторов </w:t>
      </w:r>
    </w:p>
    <w:p w14:paraId="3C18034E" w14:textId="77777777" w:rsidR="00496995" w:rsidRPr="00652A76" w:rsidRDefault="00496995" w:rsidP="00496995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52A76">
        <w:rPr>
          <w:rFonts w:ascii="Times New Roman" w:hAnsi="Times New Roman"/>
          <w:sz w:val="28"/>
          <w:szCs w:val="24"/>
        </w:rPr>
        <w:t xml:space="preserve">- </w:t>
      </w:r>
      <w:r w:rsidR="00086103" w:rsidRPr="00652A76">
        <w:rPr>
          <w:rFonts w:ascii="Times New Roman" w:hAnsi="Times New Roman"/>
          <w:sz w:val="28"/>
          <w:szCs w:val="24"/>
        </w:rPr>
        <w:t>детский и подростковый возраст до 18 лет (из-за наличия красителя)</w:t>
      </w:r>
    </w:p>
    <w:p w14:paraId="00438DB3" w14:textId="77777777" w:rsidR="00F07184" w:rsidRPr="00652A76" w:rsidRDefault="00725E7B" w:rsidP="00F0718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Необходимые меры предосторожности при применении</w:t>
      </w:r>
    </w:p>
    <w:p w14:paraId="3A9FAEA5" w14:textId="77777777" w:rsidR="00725E7B" w:rsidRPr="00652A76" w:rsidRDefault="00725E7B" w:rsidP="00725E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>Консультация врача необходима перед приёмом Флюкол-С при наличии:</w:t>
      </w:r>
    </w:p>
    <w:p w14:paraId="1AFBC6A3" w14:textId="77777777" w:rsidR="00725E7B" w:rsidRPr="00652A76" w:rsidRDefault="00725E7B" w:rsidP="00725E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>- сердечно-сосудистых заболеваний;</w:t>
      </w:r>
    </w:p>
    <w:p w14:paraId="48002325" w14:textId="77777777" w:rsidR="00725E7B" w:rsidRPr="00652A76" w:rsidRDefault="00725E7B" w:rsidP="00725E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>- увеличения предстательной железы;</w:t>
      </w:r>
    </w:p>
    <w:p w14:paraId="48512AAB" w14:textId="77777777" w:rsidR="00725E7B" w:rsidRPr="00652A76" w:rsidRDefault="00725E7B" w:rsidP="00725E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>- окклюзионное сосудистое заболевание (т.е. феномен Рейно).</w:t>
      </w:r>
    </w:p>
    <w:p w14:paraId="6CDEAEFF" w14:textId="77777777" w:rsidR="007D0E84" w:rsidRPr="00652A76" w:rsidRDefault="007D0E84" w:rsidP="00725E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35EC546A" w14:textId="77777777" w:rsidR="00790B33" w:rsidRPr="00652A76" w:rsidRDefault="00790B33" w:rsidP="00790B3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2175220271"/>
      <w:r w:rsidRPr="00652A76">
        <w:rPr>
          <w:rFonts w:ascii="Times New Roman" w:eastAsia="Times New Roman" w:hAnsi="Times New Roman"/>
          <w:i/>
          <w:sz w:val="28"/>
          <w:szCs w:val="28"/>
          <w:lang w:eastAsia="ru-RU"/>
        </w:rPr>
        <w:t>Парацетамол.</w:t>
      </w: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Домперидон и метоклопрамид повышают, а колестирамин снижает скорость всасывания парацетамола из желудочно-кишечного тракта.</w:t>
      </w:r>
      <w:r w:rsidRPr="00652A76">
        <w:rPr>
          <w:rFonts w:ascii="Arial" w:eastAsia="Times New Roman" w:hAnsi="Arial"/>
          <w:sz w:val="28"/>
          <w:szCs w:val="28"/>
          <w:lang w:eastAsia="ru-RU"/>
        </w:rPr>
        <w:t xml:space="preserve"> </w:t>
      </w: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>Противокоагулирующее действие варфарина и других кумаринов может усиливаться при длительном ежедневном приеме парацетамола и увеличивать риск кровотечений. Нерегулярный прием препарата не оказывает данного эффекта.</w:t>
      </w:r>
    </w:p>
    <w:p w14:paraId="466F3003" w14:textId="77777777" w:rsidR="00790B33" w:rsidRPr="00652A76" w:rsidRDefault="00790B33" w:rsidP="00790B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Фенилэфрин. </w:t>
      </w: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>Комбинированный прием фенилэфрина с ингибиторами моноаминоксидазы и трициклических антидепрессантов может вызвать гипертензию.</w:t>
      </w:r>
    </w:p>
    <w:p w14:paraId="3291C433" w14:textId="77777777" w:rsidR="00790B33" w:rsidRPr="00652A76" w:rsidRDefault="00790B33" w:rsidP="00790B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>Риск возникновения побочных эффектов, связанных с сердечно-сосудистой системой, может возрастать при одновременном приеме фенилэфрина с другими симпатомиметическими аминами.</w:t>
      </w:r>
    </w:p>
    <w:p w14:paraId="1D209B97" w14:textId="77777777" w:rsidR="00790B33" w:rsidRPr="00652A76" w:rsidRDefault="00790B33" w:rsidP="00790B33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>Фенилэфрин может снижать эффективность</w:t>
      </w:r>
      <w:r w:rsidRPr="00652A7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β-блокаторов и </w:t>
      </w:r>
      <w:r w:rsidRPr="00652A76">
        <w:rPr>
          <w:rFonts w:ascii="Times New Roman CYR" w:eastAsia="Times New Roman" w:hAnsi="Times New Roman CYR" w:cs="Times New Roman CYR"/>
          <w:sz w:val="28"/>
          <w:szCs w:val="28"/>
          <w:lang w:val="kk-KZ" w:eastAsia="ru-RU"/>
        </w:rPr>
        <w:t>гипотензивных препаратов (в том числе дебризохин, гуанетидин, резерпин, метилдопа)</w:t>
      </w:r>
      <w:r w:rsidRPr="00652A7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Повышается риск возникновения гипертензии и других побочных эффектов, связанных сердечно-сосудистой системой.</w:t>
      </w:r>
    </w:p>
    <w:p w14:paraId="06FDB924" w14:textId="77777777" w:rsidR="00790B33" w:rsidRPr="00652A76" w:rsidRDefault="00790B33" w:rsidP="00790B33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52A7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Комбинированный прием фенилэфрина с трициклическими антидепрессантами (например, амитриптилин) может повысить риск развития сердечно-сосудистых побочных эффектов.</w:t>
      </w:r>
    </w:p>
    <w:p w14:paraId="4EB43FEB" w14:textId="77777777" w:rsidR="00790B33" w:rsidRPr="00652A76" w:rsidRDefault="00790B33" w:rsidP="00790B33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52A7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комбинации с алкалоидами спорыньи (эрготамин и метилсергид) увеличивается риск эрготизма.</w:t>
      </w:r>
    </w:p>
    <w:p w14:paraId="7404E9CB" w14:textId="77777777" w:rsidR="00234D39" w:rsidRPr="00652A76" w:rsidRDefault="00790B33" w:rsidP="00790B33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52A7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При приеме дигоксина и сердечных гликозидов в сочетании с фенилэфрином повышается риск аритмии или сердечного приступа. </w:t>
      </w:r>
    </w:p>
    <w:bookmarkEnd w:id="1"/>
    <w:p w14:paraId="7B89FF43" w14:textId="77777777" w:rsidR="0041068E" w:rsidRPr="00652A76" w:rsidRDefault="00D43297" w:rsidP="00725E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7812AA8B" w14:textId="77777777" w:rsidR="0041068E" w:rsidRPr="00652A76" w:rsidRDefault="0041068E" w:rsidP="0041068E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>Данный препарат не следует принимать пациентам в комбинации с другими симпатомиметиками (такими как деконгестанты, аппетитоугнетающие препараты и амфетаминоподобные психостимуляторы), а также гипотензивными препаратами.</w:t>
      </w:r>
    </w:p>
    <w:p w14:paraId="7F25846A" w14:textId="77777777" w:rsidR="00931FA6" w:rsidRPr="00931FA6" w:rsidRDefault="00931FA6" w:rsidP="00931FA6">
      <w:pPr>
        <w:pStyle w:val="Style14"/>
        <w:widowControl/>
        <w:jc w:val="both"/>
        <w:rPr>
          <w:rStyle w:val="FontStyle18"/>
          <w:b w:val="0"/>
          <w:sz w:val="28"/>
          <w:szCs w:val="28"/>
        </w:rPr>
      </w:pPr>
      <w:r w:rsidRPr="00931FA6">
        <w:rPr>
          <w:rStyle w:val="FontStyle18"/>
          <w:b w:val="0"/>
          <w:sz w:val="28"/>
          <w:szCs w:val="28"/>
        </w:rPr>
        <w:t>Применение у детей</w:t>
      </w:r>
    </w:p>
    <w:p w14:paraId="5D55C254" w14:textId="77777777" w:rsidR="00931FA6" w:rsidRPr="00931FA6" w:rsidRDefault="00931FA6" w:rsidP="00931FA6">
      <w:pPr>
        <w:tabs>
          <w:tab w:val="left" w:pos="567"/>
          <w:tab w:val="left" w:pos="1310"/>
          <w:tab w:val="left" w:pos="5810"/>
          <w:tab w:val="left" w:pos="743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FA6">
        <w:rPr>
          <w:rFonts w:ascii="Times New Roman" w:eastAsia="Times New Roman" w:hAnsi="Times New Roman"/>
          <w:sz w:val="28"/>
          <w:szCs w:val="28"/>
          <w:lang w:eastAsia="ru-RU"/>
        </w:rPr>
        <w:t>Противопоказан детям и подросткам до 18 лет.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E0CF90B" w14:textId="77777777" w:rsidR="0041068E" w:rsidRPr="00652A76" w:rsidRDefault="0041068E" w:rsidP="0041068E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>Краситель желтый «Солнечный закат» (Е110) может вызывать аллергические реакции.</w:t>
      </w:r>
    </w:p>
    <w:p w14:paraId="12BADD63" w14:textId="77777777" w:rsidR="0041068E" w:rsidRPr="00652A76" w:rsidRDefault="0041068E" w:rsidP="0041068E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 xml:space="preserve">Совместное применение других препаратов для лечения гриппа, простуды или деконгестантов, либо других препаратов, содержащих парацетамол, следует избегать. С осторожностью следует применять парацетамол </w:t>
      </w:r>
      <w:r w:rsidRPr="00652A76">
        <w:rPr>
          <w:rFonts w:ascii="Times New Roman" w:hAnsi="Times New Roman"/>
          <w:sz w:val="28"/>
          <w:szCs w:val="28"/>
        </w:rPr>
        <w:lastRenderedPageBreak/>
        <w:t>пациентам с серьезной почечной или печеночной недостаточностью. Более серьезный вред передозировка наносит пациентам с нецирротическим алкогольным заболеванием печени.</w:t>
      </w:r>
    </w:p>
    <w:p w14:paraId="25CBCFE5" w14:textId="77777777" w:rsidR="0041068E" w:rsidRPr="00652A76" w:rsidRDefault="0041068E" w:rsidP="004106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>Не следует употреблять чрезмерное количество чая или кофе при приеме препарата.</w:t>
      </w:r>
    </w:p>
    <w:p w14:paraId="16F34F1F" w14:textId="77777777" w:rsidR="0041068E" w:rsidRPr="00652A76" w:rsidRDefault="0041068E" w:rsidP="004106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>В случае ухудшения симптомов обратитесь к врачу.</w:t>
      </w:r>
    </w:p>
    <w:p w14:paraId="0F2F2451" w14:textId="77777777" w:rsidR="0041068E" w:rsidRPr="00652A76" w:rsidRDefault="0041068E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>Не превышать рекомендованную дозу.</w:t>
      </w:r>
    </w:p>
    <w:p w14:paraId="1E90F8EA" w14:textId="77777777" w:rsidR="00D43297" w:rsidRPr="00652A76" w:rsidRDefault="00497AC8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52A76">
        <w:rPr>
          <w:rFonts w:ascii="Times New Roman" w:hAnsi="Times New Roman"/>
          <w:i/>
          <w:sz w:val="28"/>
          <w:szCs w:val="28"/>
        </w:rPr>
        <w:t>Применение в</w:t>
      </w:r>
      <w:r w:rsidR="00D43297" w:rsidRPr="00652A76">
        <w:rPr>
          <w:rFonts w:ascii="Times New Roman" w:hAnsi="Times New Roman"/>
          <w:i/>
          <w:sz w:val="28"/>
          <w:szCs w:val="28"/>
        </w:rPr>
        <w:t>о время беременности или лактации</w:t>
      </w:r>
    </w:p>
    <w:p w14:paraId="3AA9F968" w14:textId="77777777" w:rsidR="001A1784" w:rsidRPr="00652A76" w:rsidRDefault="001A1784" w:rsidP="00844CE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Препарат не рекомендуется принимать в течение беременности по причине повышенного риска выкидыша, связанного с наличием кофеина в составе. </w:t>
      </w:r>
    </w:p>
    <w:p w14:paraId="25D1E0CD" w14:textId="77777777" w:rsidR="001A1784" w:rsidRPr="00652A76" w:rsidRDefault="001A1784" w:rsidP="001A178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 приемом препарата в период лактации следует проконсультироваться с врачом.</w:t>
      </w:r>
    </w:p>
    <w:p w14:paraId="7FA9E007" w14:textId="77777777" w:rsidR="001A1784" w:rsidRPr="00652A76" w:rsidRDefault="001A1784" w:rsidP="001A178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Фенилэфрин выводится с грудным молоком. Кофеин в грудном молоке может оказывать стимулирующее действие на ребенка, вскармливаемого грудью, но значительный токсический эффект не наблюдался.</w:t>
      </w:r>
    </w:p>
    <w:p w14:paraId="3304584A" w14:textId="77777777" w:rsidR="00FA4F7C" w:rsidRPr="00652A76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52A76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48BBF084" w14:textId="77777777" w:rsidR="001A1784" w:rsidRPr="00652A76" w:rsidRDefault="001A1784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>Учитывая побочные действия препарата (головная боль, ослабление внимания, дезориентация во времени и пространстве) следует воздержаться от управления транспортным средством и потенциально опасными механизмами.</w:t>
      </w:r>
    </w:p>
    <w:p w14:paraId="6D06C56D" w14:textId="77777777" w:rsidR="007D0E84" w:rsidRPr="00652A76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7D0DFC2" w14:textId="77777777" w:rsidR="00DB406A" w:rsidRPr="00931FA6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1FA6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6324E460" w14:textId="77777777" w:rsidR="005C4B12" w:rsidRPr="00931FA6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2" w:name="2175220274"/>
      <w:r w:rsidRPr="00931FA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931FA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195A1AFB" w14:textId="77777777" w:rsidR="001A1784" w:rsidRPr="00931FA6" w:rsidRDefault="00931FA6" w:rsidP="001A17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FA6">
        <w:rPr>
          <w:rFonts w:ascii="Times New Roman" w:eastAsia="Times New Roman" w:hAnsi="Times New Roman"/>
          <w:sz w:val="28"/>
          <w:szCs w:val="28"/>
          <w:lang w:eastAsia="ru-RU"/>
        </w:rPr>
        <w:t>Взрослым старше 18 лет п</w:t>
      </w:r>
      <w:r w:rsidR="001A1784" w:rsidRPr="00931FA6">
        <w:rPr>
          <w:rFonts w:ascii="Times New Roman" w:eastAsia="Times New Roman" w:hAnsi="Times New Roman"/>
          <w:sz w:val="28"/>
          <w:szCs w:val="28"/>
          <w:lang w:eastAsia="ru-RU"/>
        </w:rPr>
        <w:t>о 1-2 таблетки не более 4 раз в день.</w:t>
      </w:r>
    </w:p>
    <w:p w14:paraId="30C9DC70" w14:textId="77777777" w:rsidR="00DB406A" w:rsidRPr="00931FA6" w:rsidRDefault="001A1784" w:rsidP="001A17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FA6"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принимать более 8 таблеток в течение 24 часов. </w:t>
      </w:r>
      <w:r w:rsidR="004453AC" w:rsidRPr="00931FA6">
        <w:rPr>
          <w:rFonts w:ascii="Times New Roman" w:eastAsia="Times New Roman" w:hAnsi="Times New Roman"/>
          <w:sz w:val="28"/>
          <w:szCs w:val="28"/>
          <w:lang w:eastAsia="ru-RU"/>
        </w:rPr>
        <w:t>Не принимать чаще, чем через 4 часа.</w:t>
      </w:r>
    </w:p>
    <w:p w14:paraId="4B1A7294" w14:textId="77777777" w:rsidR="005C4B12" w:rsidRPr="00931FA6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bookmarkStart w:id="3" w:name="2175220277"/>
      <w:bookmarkEnd w:id="2"/>
      <w:r w:rsidRPr="00931FA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Длительность лечения</w:t>
      </w:r>
      <w:r w:rsidRPr="00931FA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14:paraId="50AA72F4" w14:textId="77777777" w:rsidR="001A1784" w:rsidRPr="00652A76" w:rsidRDefault="001A1784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2175220278"/>
      <w:bookmarkEnd w:id="3"/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>Не рекомендуется применять более 7 дней без назначения врача.</w:t>
      </w:r>
    </w:p>
    <w:p w14:paraId="3608D6A7" w14:textId="77777777" w:rsidR="005C4B12" w:rsidRPr="00652A76" w:rsidRDefault="00DB406A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52A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652A76">
        <w:rPr>
          <w:rFonts w:ascii="Times New Roman" w:hAnsi="Times New Roman"/>
          <w:i/>
          <w:sz w:val="28"/>
          <w:szCs w:val="28"/>
        </w:rPr>
        <w:t xml:space="preserve"> </w:t>
      </w:r>
    </w:p>
    <w:p w14:paraId="0C1FA09C" w14:textId="77777777" w:rsidR="001A1784" w:rsidRPr="00652A76" w:rsidRDefault="001A1784" w:rsidP="001A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при</w:t>
      </w:r>
      <w:r w:rsidR="007024E8"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еме парацетамола в количестве 5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 и более нарушения функции печени могут возникнуть у взрослых пациентов, имеющих следующие факторы риска:</w:t>
      </w:r>
    </w:p>
    <w:p w14:paraId="34612F47" w14:textId="77777777" w:rsidR="001A1784" w:rsidRPr="00652A76" w:rsidRDefault="007024E8" w:rsidP="001A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</w:t>
      </w:r>
      <w:r w:rsidR="001A1784"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ациенты, получающие длительное лече</w:t>
      </w:r>
      <w:r w:rsidR="00A5285F"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 карбамазепином, фенобарбитал</w:t>
      </w:r>
      <w:r w:rsidR="001A1784"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ом, фенитоином, примидоном, рифампицином, зверобоем или другими препаратами,</w:t>
      </w:r>
      <w:r w:rsidR="00071C3C"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индуцирующими ферменты печени</w:t>
      </w:r>
    </w:p>
    <w:p w14:paraId="0F5F8FE3" w14:textId="77777777" w:rsidR="001A1784" w:rsidRPr="00652A76" w:rsidRDefault="007024E8" w:rsidP="001A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071C3C"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регулярное употребление алкогольных напитков сверх рекомендованного количества</w:t>
      </w:r>
    </w:p>
    <w:p w14:paraId="601FA9D1" w14:textId="77777777" w:rsidR="001A1784" w:rsidRPr="00652A76" w:rsidRDefault="007024E8" w:rsidP="001A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</w:t>
      </w:r>
      <w:r w:rsidR="001A1784"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ациенты с дефицитом глутатиона, т.е. с рас</w:t>
      </w:r>
      <w:r w:rsidR="001A1784" w:rsidRPr="00652A7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с</w:t>
      </w:r>
      <w:r w:rsidR="001A1784"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тройством пищеварения,</w:t>
      </w:r>
      <w:r w:rsidR="001A1784" w:rsidRPr="00652A7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кистозным фиброзом</w:t>
      </w:r>
      <w:r w:rsidR="00071C3C"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ВИЧ, недоеданием, кахексией</w:t>
      </w:r>
    </w:p>
    <w:p w14:paraId="39C2932A" w14:textId="77777777" w:rsidR="001A1784" w:rsidRPr="00652A76" w:rsidRDefault="001A1784" w:rsidP="001A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Симптомы передозировки парацетамола в течение первых 24 часов:</w:t>
      </w:r>
      <w:r w:rsidRPr="00652A7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бледность кожных покровов, тошнота, рвота, анорексия и боль в животе. Признаки повреждения печени могут появиться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через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12-48 часов после приема препарата. 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М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огут возникнуть аномалии метаболизма глюкозы и метаболический ацидоз.</w:t>
      </w:r>
      <w:r w:rsidR="00EA2FB6" w:rsidRPr="00652A7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13620E" w:rsidRPr="00652A7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При тяжелом отравлении печеночная </w:t>
      </w:r>
      <w:r w:rsidR="0013620E" w:rsidRPr="00652A7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lastRenderedPageBreak/>
        <w:t>недостаточность может прогрессировать до энцефалопатии, кровоизлияния, гипогликемии, отека мозга и смерти.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Острая почечная недостаточность с острым тубулярным некрозом, выраженная болью в пояснице, гематурией и протеинурией, может разв</w:t>
      </w:r>
      <w:r w:rsidR="009F503F"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иться даже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отсутствии серьезного повреждения печени. Также сообщалось о случаях сердечной аритмии и панкреатите.   </w:t>
      </w:r>
    </w:p>
    <w:p w14:paraId="78947CBC" w14:textId="77777777" w:rsidR="001A1784" w:rsidRPr="00652A76" w:rsidRDefault="001A1784" w:rsidP="001A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Лечение: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передозировке парацетамола требуется незамедлительное лечение. Несмотря на отсутствие выраженных ранних симптомов, пациенту следует обратиться за медицинской помощью. Симптомы могут ограничиваться тошнотой и рвотой, не проявлять признаки тяжелой передозировки и риска повреждения органов. Лечение проводится в соответствии с установленными правилами (см. раздел "передозировка" в БНФ).</w:t>
      </w:r>
    </w:p>
    <w:p w14:paraId="73822743" w14:textId="77777777" w:rsidR="001A1784" w:rsidRPr="00652A76" w:rsidRDefault="001A1784" w:rsidP="001A17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Лечение активированным углем следует проводить в течение 1 часа после передозировки. Концентрацию парацетамола в плазме крови следует измерять через 4 часа или позже после приема (более ранние концентрации не учитываются). Лечение N-ацетилцистеином применимо в течение 24 часов после приема парацетамола, но максимальный эффект достигается в течение 8 часов </w:t>
      </w:r>
      <w:r w:rsidR="00AA1EC8"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применения, затем эффективность антидота снижается.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необходимости пациенту вводят N-ацетилцистеин внутривенно согласно установленной схеме дозирования. При отсутствии рвоты у пациентов, находящихся в отдаленных районах за пределами больницы, в качестве подходящей альтернативы можно принимать метионин перорально. Принимать решение о методе лечения пациентов с тяжелым нарушением печени</w:t>
      </w:r>
      <w:r w:rsidRPr="00652A76">
        <w:rPr>
          <w:rFonts w:ascii="Arial" w:eastAsia="Times New Roman" w:hAnsi="Arial"/>
          <w:sz w:val="24"/>
          <w:szCs w:val="24"/>
          <w:lang w:eastAsia="ru-RU"/>
        </w:rPr>
        <w:t xml:space="preserve"> </w:t>
      </w:r>
      <w:r w:rsidRPr="00652A76">
        <w:rPr>
          <w:rFonts w:ascii="Times New Roman" w:eastAsia="Times New Roman" w:hAnsi="Times New Roman"/>
          <w:sz w:val="28"/>
          <w:szCs w:val="24"/>
          <w:lang w:eastAsia="ru-RU"/>
        </w:rPr>
        <w:t>спустя</w:t>
      </w:r>
      <w:r w:rsidRPr="00652A76">
        <w:rPr>
          <w:rFonts w:ascii="Arial" w:eastAsia="Times New Roman" w:hAnsi="Arial"/>
          <w:sz w:val="24"/>
          <w:szCs w:val="24"/>
          <w:lang w:eastAsia="ru-RU"/>
        </w:rPr>
        <w:t xml:space="preserve"> 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 часа после приема препарата следует совместно с</w:t>
      </w:r>
      <w:r w:rsidR="0016685D"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специалистами отделения токсикологии.</w:t>
      </w:r>
    </w:p>
    <w:p w14:paraId="632935FD" w14:textId="77777777" w:rsidR="001A1784" w:rsidRPr="00652A76" w:rsidRDefault="001A1784" w:rsidP="001A178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Симптомы передозировки кофеина: 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нервозность, беспокойство, бессонница, тревожность, повышенный диурез, потливость лица, тремор, расстройства желудочно-кишечного тракта, тахикардия, аритмия, несвязность мышления и речи, психомоторное возбуждение или периоды неутомимости.</w:t>
      </w:r>
    </w:p>
    <w:p w14:paraId="3F092678" w14:textId="77777777" w:rsidR="001A1784" w:rsidRPr="00652A76" w:rsidRDefault="001A1784" w:rsidP="001A178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Необходимо отметить, что для клинически значимых симптомов передозировки кофеина, возникающих при приеме препарата, количество принятого препарата зависит от тяжести печеночной токсичности, 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вызванной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приемом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парацетамол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а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5D159139" w14:textId="77777777" w:rsidR="001A1784" w:rsidRPr="00652A76" w:rsidRDefault="001A1784" w:rsidP="001A178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Лечение: в соответствии с клиническими симптомами. </w:t>
      </w:r>
      <w:r w:rsidR="00B05606"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от 1 до 4 часов после передозировки возможен прием активированного угля. Может возникнуть необходимость внутривенного введения седативных препаратов.</w:t>
      </w:r>
    </w:p>
    <w:p w14:paraId="1F712A6D" w14:textId="77777777" w:rsidR="006330A4" w:rsidRPr="00652A76" w:rsidRDefault="006330A4" w:rsidP="006330A4">
      <w:pPr>
        <w:tabs>
          <w:tab w:val="left" w:pos="5325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i/>
          <w:sz w:val="28"/>
          <w:szCs w:val="28"/>
          <w:lang w:eastAsia="ru-RU"/>
        </w:rPr>
        <w:t>Симптомы передозировки фенилэфрина:</w:t>
      </w:r>
    </w:p>
    <w:p w14:paraId="53754E98" w14:textId="77777777" w:rsidR="006330A4" w:rsidRPr="00652A76" w:rsidRDefault="006330A4" w:rsidP="006330A4">
      <w:pPr>
        <w:tabs>
          <w:tab w:val="left" w:pos="532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>Симптомы аналогичны перечисленным в разделе нежелательных реакций. Дополнительно могут возникнуть раздражительность, беспокойство, повышение артериального давления  и, возможно, брадикардия. В тяжелых случаях возможна спутанность сознания, галлюцинации, судороги и нарушение сердечного ритма.</w:t>
      </w:r>
    </w:p>
    <w:p w14:paraId="5655037F" w14:textId="77777777" w:rsidR="006330A4" w:rsidRPr="00652A76" w:rsidRDefault="006330A4" w:rsidP="006330A4">
      <w:pPr>
        <w:tabs>
          <w:tab w:val="left" w:pos="532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Следует помнить, что для возникновения вышеперечисленных симптомов требуется значительное большее количество фенилэфрина, чем для возникновения симптомов, вызванных передозировкой парацетамола. </w:t>
      </w:r>
    </w:p>
    <w:p w14:paraId="1673F6A8" w14:textId="77777777" w:rsidR="006330A4" w:rsidRPr="00652A76" w:rsidRDefault="006330A4" w:rsidP="006330A4">
      <w:pPr>
        <w:tabs>
          <w:tab w:val="left" w:pos="5325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Лечение: </w:t>
      </w: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 xml:space="preserve">симптоматическое. Выраженная гипертензия может потребовать применения адреноблокаторов, таких как фентоламин. </w:t>
      </w:r>
    </w:p>
    <w:p w14:paraId="79CA4480" w14:textId="77777777" w:rsidR="001A1784" w:rsidRPr="00652A76" w:rsidRDefault="001A1784" w:rsidP="001A178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Аскорбиновая кислота</w:t>
      </w:r>
    </w:p>
    <w:p w14:paraId="5FB2C88D" w14:textId="77777777" w:rsidR="001A1784" w:rsidRPr="00652A76" w:rsidRDefault="001A1784" w:rsidP="001A178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Симптомы: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передозировке аскорбиновой кислоты (&gt;3000 мг) может возникнуть временная осмотическая диарея и реакции со стороны желудочно-кишечного тракта, такие как тошнота, рвота и дискомфорт в животе. Эффект передозировки аскорбиновой кислоты может быть связан с тяжелой печеночной токсичностью, вызванной передозировкой парацетамола.</w:t>
      </w:r>
    </w:p>
    <w:p w14:paraId="68C4B258" w14:textId="77777777" w:rsidR="001A1784" w:rsidRPr="00652A76" w:rsidRDefault="001A1784" w:rsidP="001A178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Терпингидрат</w:t>
      </w:r>
    </w:p>
    <w:p w14:paraId="5CFAD41A" w14:textId="77777777" w:rsidR="008068F7" w:rsidRPr="00652A76" w:rsidRDefault="008068F7" w:rsidP="008068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Симптомы: 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передозировка может вызвать реакции со стороны желудочно-кишечного тракта, такие как тошнота, рвота и боли в животе.</w:t>
      </w:r>
    </w:p>
    <w:p w14:paraId="1DA7C622" w14:textId="77777777" w:rsidR="008068F7" w:rsidRPr="00652A76" w:rsidRDefault="008068F7" w:rsidP="008068F7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52A76">
        <w:rPr>
          <w:rFonts w:ascii="Times New Roman" w:hAnsi="Times New Roman"/>
          <w:i/>
          <w:color w:val="000000"/>
          <w:sz w:val="28"/>
          <w:szCs w:val="28"/>
        </w:rPr>
        <w:t xml:space="preserve">Лечение: </w:t>
      </w:r>
      <w:r w:rsidRPr="00652A76">
        <w:rPr>
          <w:rFonts w:ascii="Times New Roman" w:hAnsi="Times New Roman"/>
          <w:color w:val="000000"/>
          <w:sz w:val="28"/>
          <w:szCs w:val="28"/>
        </w:rPr>
        <w:t>симптоматическое.</w:t>
      </w:r>
    </w:p>
    <w:p w14:paraId="4868D447" w14:textId="77777777" w:rsidR="00DB406A" w:rsidRPr="00652A76" w:rsidRDefault="00DB406A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A47E08" w14:textId="77777777" w:rsidR="005C4B12" w:rsidRPr="00652A76" w:rsidRDefault="005C4B12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5" w:name="2175220280"/>
      <w:bookmarkEnd w:id="4"/>
      <w:r w:rsidRPr="00652A76">
        <w:rPr>
          <w:rFonts w:ascii="Times New Roman" w:hAnsi="Times New Roman"/>
          <w:b/>
          <w:i/>
          <w:color w:val="000000"/>
          <w:sz w:val="28"/>
          <w:szCs w:val="28"/>
        </w:rPr>
        <w:t>Рекомендации по обращению за консультацией к медицинскому работнику для разъяснения способа применения лекарственного препарата</w:t>
      </w:r>
    </w:p>
    <w:bookmarkEnd w:id="5"/>
    <w:p w14:paraId="5983FBBB" w14:textId="77777777" w:rsidR="00CC5137" w:rsidRPr="00652A76" w:rsidRDefault="00CC5137" w:rsidP="00CC51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>Перед применением препарата внимательно прочитайте листок-вкладыш.</w:t>
      </w:r>
    </w:p>
    <w:p w14:paraId="375D1478" w14:textId="77777777" w:rsidR="00CC5137" w:rsidRPr="00652A76" w:rsidRDefault="00CC5137" w:rsidP="00CC51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>Если у вас возникли дополнительные вопросы, обратитесь к лечащему</w:t>
      </w:r>
    </w:p>
    <w:p w14:paraId="08E709C7" w14:textId="77777777" w:rsidR="00A12563" w:rsidRPr="00652A76" w:rsidRDefault="00CC5137" w:rsidP="00CC51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>врачу.</w:t>
      </w:r>
    </w:p>
    <w:p w14:paraId="226EC407" w14:textId="77777777" w:rsidR="001951FB" w:rsidRPr="00652A76" w:rsidRDefault="001951FB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6304E2" w14:textId="77777777" w:rsidR="001937AD" w:rsidRPr="00652A76" w:rsidRDefault="001937AD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6" w:name="2175220282"/>
      <w:r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652A76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p w14:paraId="07BEF865" w14:textId="77777777" w:rsidR="002850CD" w:rsidRPr="00652A76" w:rsidRDefault="002850CD" w:rsidP="002850CD">
      <w:pPr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Частота неизвестна</w:t>
      </w:r>
    </w:p>
    <w:bookmarkEnd w:id="6"/>
    <w:p w14:paraId="444BE733" w14:textId="77777777" w:rsidR="00D318B9" w:rsidRPr="00652A76" w:rsidRDefault="00D318B9" w:rsidP="00D318B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>- тромбоцитопения</w:t>
      </w:r>
    </w:p>
    <w:p w14:paraId="2EF16552" w14:textId="77777777" w:rsidR="00D318B9" w:rsidRPr="00652A76" w:rsidRDefault="00D318B9" w:rsidP="00D318B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>- агранулоцитоз</w:t>
      </w:r>
    </w:p>
    <w:p w14:paraId="7DC8D3CD" w14:textId="77777777" w:rsidR="00D318B9" w:rsidRPr="00652A76" w:rsidRDefault="00D318B9" w:rsidP="00D318B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 xml:space="preserve">- </w:t>
      </w:r>
      <w:r w:rsidR="00A7064E" w:rsidRPr="00652A76">
        <w:rPr>
          <w:rFonts w:ascii="Times New Roman" w:hAnsi="Times New Roman"/>
          <w:sz w:val="28"/>
          <w:szCs w:val="28"/>
        </w:rPr>
        <w:t>анафилактический шок</w:t>
      </w:r>
    </w:p>
    <w:p w14:paraId="1C725796" w14:textId="77777777" w:rsidR="00D318B9" w:rsidRPr="00652A76" w:rsidRDefault="00D318B9" w:rsidP="00D318B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 xml:space="preserve">- кожные реакции гиперчувствительности, включая кожную сыпь, </w:t>
      </w:r>
      <w:r w:rsidR="00894923" w:rsidRPr="00652A76">
        <w:rPr>
          <w:rFonts w:ascii="Times New Roman" w:hAnsi="Times New Roman"/>
          <w:sz w:val="28"/>
          <w:szCs w:val="28"/>
        </w:rPr>
        <w:t>ангиоэдема и синдром Стивенса-Джонсона</w:t>
      </w:r>
    </w:p>
    <w:p w14:paraId="6996CF8F" w14:textId="77777777" w:rsidR="00D318B9" w:rsidRPr="00652A76" w:rsidRDefault="00D318B9" w:rsidP="00D318B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>- бронхоспазм (</w:t>
      </w:r>
      <w:r w:rsidR="00EF506E" w:rsidRPr="00652A76">
        <w:rPr>
          <w:rFonts w:ascii="Times New Roman" w:hAnsi="Times New Roman"/>
          <w:sz w:val="28"/>
          <w:szCs w:val="28"/>
        </w:rPr>
        <w:t>большинство случаев зафиксировано у астматиков, чувствительных к аспирину или другим нестероидным противовоспалительным препаратам)</w:t>
      </w:r>
    </w:p>
    <w:p w14:paraId="59A59862" w14:textId="77777777" w:rsidR="00D318B9" w:rsidRPr="00652A76" w:rsidRDefault="00D318B9" w:rsidP="00D318B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 xml:space="preserve">- </w:t>
      </w:r>
      <w:r w:rsidR="003A5482" w:rsidRPr="00652A76">
        <w:rPr>
          <w:rFonts w:ascii="Times New Roman" w:hAnsi="Times New Roman"/>
          <w:sz w:val="28"/>
          <w:szCs w:val="28"/>
        </w:rPr>
        <w:t xml:space="preserve">дисфункция </w:t>
      </w:r>
      <w:r w:rsidRPr="00652A76">
        <w:rPr>
          <w:rFonts w:ascii="Times New Roman" w:hAnsi="Times New Roman"/>
          <w:sz w:val="28"/>
          <w:szCs w:val="28"/>
        </w:rPr>
        <w:t>печени</w:t>
      </w:r>
    </w:p>
    <w:p w14:paraId="40D3D5F9" w14:textId="77777777" w:rsidR="00D318B9" w:rsidRPr="00652A76" w:rsidRDefault="00D318B9" w:rsidP="00D318B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 xml:space="preserve">- нервозность </w:t>
      </w:r>
    </w:p>
    <w:p w14:paraId="19C47A4A" w14:textId="77777777" w:rsidR="00D318B9" w:rsidRPr="00652A76" w:rsidRDefault="00D318B9" w:rsidP="00D318B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 xml:space="preserve">- раздражительность </w:t>
      </w:r>
    </w:p>
    <w:p w14:paraId="219431A4" w14:textId="77777777" w:rsidR="00D318B9" w:rsidRPr="00652A76" w:rsidRDefault="00D318B9" w:rsidP="00D318B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 xml:space="preserve">- беспокойство </w:t>
      </w:r>
    </w:p>
    <w:p w14:paraId="4D41225D" w14:textId="77777777" w:rsidR="00D318B9" w:rsidRPr="00652A76" w:rsidRDefault="00D318B9" w:rsidP="00D318B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>- возбудимость</w:t>
      </w:r>
    </w:p>
    <w:p w14:paraId="56D0360E" w14:textId="77777777" w:rsidR="00D318B9" w:rsidRPr="00652A76" w:rsidRDefault="00D318B9" w:rsidP="00D318B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>- головная боль</w:t>
      </w:r>
    </w:p>
    <w:p w14:paraId="0CB6A2FC" w14:textId="77777777" w:rsidR="00D318B9" w:rsidRPr="00652A76" w:rsidRDefault="00D318B9" w:rsidP="00D318B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>- головокружение</w:t>
      </w:r>
    </w:p>
    <w:p w14:paraId="5597669A" w14:textId="77777777" w:rsidR="00D318B9" w:rsidRPr="00652A76" w:rsidRDefault="00D318B9" w:rsidP="00D318B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>- бессонница</w:t>
      </w:r>
    </w:p>
    <w:p w14:paraId="2C47FF9B" w14:textId="77777777" w:rsidR="00D318B9" w:rsidRPr="00652A76" w:rsidRDefault="001C60DF" w:rsidP="00D318B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>- повышение кровяного</w:t>
      </w:r>
      <w:r w:rsidR="00D318B9" w:rsidRPr="00652A76">
        <w:rPr>
          <w:rFonts w:ascii="Times New Roman" w:hAnsi="Times New Roman"/>
          <w:sz w:val="28"/>
          <w:szCs w:val="28"/>
        </w:rPr>
        <w:t xml:space="preserve"> давления</w:t>
      </w:r>
    </w:p>
    <w:p w14:paraId="6125B918" w14:textId="77777777" w:rsidR="00D318B9" w:rsidRPr="00652A76" w:rsidRDefault="00D318B9" w:rsidP="00D318B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lastRenderedPageBreak/>
        <w:t>- тошнота</w:t>
      </w:r>
    </w:p>
    <w:p w14:paraId="7F3ABB1C" w14:textId="77777777" w:rsidR="00D318B9" w:rsidRPr="00652A76" w:rsidRDefault="00D318B9" w:rsidP="00D318B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>- рвота</w:t>
      </w:r>
    </w:p>
    <w:p w14:paraId="0B2928DF" w14:textId="77777777" w:rsidR="005C4B12" w:rsidRPr="00652A76" w:rsidRDefault="00D318B9" w:rsidP="00D318B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>- диарея</w:t>
      </w:r>
    </w:p>
    <w:p w14:paraId="4511A4B0" w14:textId="77777777" w:rsidR="003312EE" w:rsidRPr="00652A76" w:rsidRDefault="003312EE" w:rsidP="003312E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52A76">
        <w:rPr>
          <w:rFonts w:ascii="Times New Roman" w:hAnsi="Times New Roman"/>
          <w:iCs/>
          <w:sz w:val="28"/>
          <w:szCs w:val="28"/>
        </w:rPr>
        <w:t>Одновременный прием препарата с кофеинсодержащими продуктами (например, кофе, чай, кофеинсодержащие напитки) может привести к нарушению сна, беспокойству, раздражительности, головной боли, желудочно-кишечным расстройствам и учащенному сердцебиению.</w:t>
      </w:r>
    </w:p>
    <w:p w14:paraId="50E7DE2F" w14:textId="77777777" w:rsidR="003312EE" w:rsidRPr="00652A76" w:rsidRDefault="003312EE" w:rsidP="003312E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52A76">
        <w:rPr>
          <w:rFonts w:ascii="Times New Roman" w:hAnsi="Times New Roman"/>
          <w:iCs/>
          <w:sz w:val="28"/>
          <w:szCs w:val="28"/>
        </w:rPr>
        <w:t xml:space="preserve">Ниже перечислены нежелательные реакции, установленные во время пострегистрационного применения препарата. Частота данных реакций неизвестна, но, </w:t>
      </w:r>
      <w:r w:rsidR="008F483A" w:rsidRPr="00652A76">
        <w:rPr>
          <w:rFonts w:ascii="Times New Roman" w:hAnsi="Times New Roman"/>
          <w:iCs/>
          <w:sz w:val="28"/>
          <w:szCs w:val="28"/>
        </w:rPr>
        <w:t>оценивается как редкая</w:t>
      </w:r>
      <w:r w:rsidRPr="00652A76">
        <w:rPr>
          <w:rFonts w:ascii="Times New Roman" w:hAnsi="Times New Roman"/>
          <w:iCs/>
          <w:sz w:val="28"/>
          <w:szCs w:val="28"/>
        </w:rPr>
        <w:t>: реакции гиперчувствительности, включая перекрестную чувствительность с другими симпатомиметиками.</w:t>
      </w:r>
    </w:p>
    <w:p w14:paraId="6A43A0A4" w14:textId="77777777" w:rsidR="0041162E" w:rsidRPr="00652A76" w:rsidRDefault="0041162E" w:rsidP="000E6B7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769F2D" w14:textId="77777777" w:rsidR="00827BB2" w:rsidRPr="00652A76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52A76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D93C80" w:rsidRPr="00652A76">
        <w:rPr>
          <w:rFonts w:ascii="Times New Roman" w:hAnsi="Times New Roman"/>
          <w:b/>
          <w:color w:val="000000"/>
          <w:sz w:val="28"/>
          <w:szCs w:val="28"/>
        </w:rPr>
        <w:t xml:space="preserve">ри возникновении </w:t>
      </w:r>
      <w:r w:rsidR="006703A5" w:rsidRPr="00652A76">
        <w:rPr>
          <w:rFonts w:ascii="Times New Roman" w:hAnsi="Times New Roman"/>
          <w:b/>
          <w:color w:val="000000"/>
          <w:sz w:val="28"/>
          <w:szCs w:val="28"/>
        </w:rPr>
        <w:t>нежелательных</w:t>
      </w:r>
      <w:r w:rsidR="00D93C80" w:rsidRPr="00652A76">
        <w:rPr>
          <w:rFonts w:ascii="Times New Roman" w:hAnsi="Times New Roman"/>
          <w:b/>
          <w:color w:val="000000"/>
          <w:sz w:val="28"/>
          <w:szCs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652A7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703A5" w:rsidRPr="00652A7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14:paraId="44C554E5" w14:textId="77777777" w:rsidR="006703A5" w:rsidRPr="00652A76" w:rsidRDefault="006703A5" w:rsidP="00407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5779DE" w:rsidRPr="00652A76">
        <w:rPr>
          <w:rFonts w:ascii="Times New Roman" w:hAnsi="Times New Roman"/>
          <w:sz w:val="28"/>
          <w:szCs w:val="28"/>
        </w:rPr>
        <w:t>Комитет</w:t>
      </w:r>
      <w:r w:rsidR="00931FA6">
        <w:rPr>
          <w:rFonts w:ascii="Times New Roman" w:hAnsi="Times New Roman"/>
          <w:sz w:val="28"/>
          <w:szCs w:val="28"/>
        </w:rPr>
        <w:t>а</w:t>
      </w:r>
      <w:r w:rsidR="005779DE" w:rsidRPr="00652A76">
        <w:rPr>
          <w:rFonts w:ascii="Times New Roman" w:hAnsi="Times New Roman"/>
          <w:sz w:val="28"/>
          <w:szCs w:val="28"/>
        </w:rPr>
        <w:t xml:space="preserve"> </w:t>
      </w:r>
      <w:r w:rsidR="00407A7A" w:rsidRPr="00652A76">
        <w:rPr>
          <w:rFonts w:ascii="Times New Roman" w:hAnsi="Times New Roman"/>
          <w:sz w:val="28"/>
          <w:szCs w:val="28"/>
        </w:rPr>
        <w:t>медицинского и фармацевтического контроля Министерства здравоохранения Республики Казахстан</w:t>
      </w:r>
    </w:p>
    <w:p w14:paraId="61569CF9" w14:textId="77777777" w:rsidR="006703A5" w:rsidRPr="00652A76" w:rsidRDefault="00381E37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652A76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652A76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652A76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652A76">
          <w:rPr>
            <w:rStyle w:val="af"/>
            <w:rFonts w:ascii="Times New Roman" w:hAnsi="Times New Roman"/>
            <w:sz w:val="28"/>
            <w:szCs w:val="28"/>
          </w:rPr>
          <w:t>.</w:t>
        </w:r>
        <w:r w:rsidR="006703A5" w:rsidRPr="00652A76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r w:rsidR="006703A5" w:rsidRPr="00652A76">
          <w:rPr>
            <w:rStyle w:val="af"/>
            <w:rFonts w:ascii="Times New Roman" w:hAnsi="Times New Roman"/>
            <w:sz w:val="28"/>
            <w:szCs w:val="28"/>
          </w:rPr>
          <w:t>.</w:t>
        </w:r>
        <w:r w:rsidR="006703A5" w:rsidRPr="00652A76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</w:hyperlink>
    </w:p>
    <w:p w14:paraId="52D0D6BF" w14:textId="77777777" w:rsidR="006703A5" w:rsidRPr="00652A76" w:rsidRDefault="006703A5" w:rsidP="00844CE8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0CB3282" w14:textId="77777777" w:rsidR="000C2C4B" w:rsidRPr="00652A76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7E5D65E3" w14:textId="77777777" w:rsidR="006B7A90" w:rsidRPr="00652A76" w:rsidRDefault="00844CE8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7" w:name="2175220285"/>
      <w:r w:rsidRPr="00652A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652A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601AAC4D" w14:textId="77777777" w:rsidR="006B7A90" w:rsidRPr="00652A76" w:rsidRDefault="00806684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8" w:name="2175220286"/>
      <w:bookmarkEnd w:id="7"/>
      <w:r w:rsidRPr="00652A76">
        <w:rPr>
          <w:rFonts w:ascii="Times New Roman" w:eastAsia="Times New Roman" w:hAnsi="Times New Roman"/>
          <w:bCs/>
          <w:sz w:val="28"/>
          <w:szCs w:val="28"/>
          <w:lang w:eastAsia="ru-RU"/>
        </w:rPr>
        <w:t>Одна таблетка</w:t>
      </w:r>
      <w:r w:rsidR="006B7A90" w:rsidRPr="00652A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содержит </w:t>
      </w:r>
    </w:p>
    <w:p w14:paraId="7A50E31B" w14:textId="77777777" w:rsidR="0069321E" w:rsidRPr="00652A76" w:rsidRDefault="003974BC" w:rsidP="006932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652A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А</w:t>
      </w:r>
      <w:r w:rsidR="006B7A90" w:rsidRPr="00652A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ктивные вещества: </w:t>
      </w:r>
      <w:r w:rsidR="003E5BE3" w:rsidRPr="00652A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 </w:t>
      </w:r>
      <w:r w:rsidR="0069321E" w:rsidRPr="00652A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C011B2" w:rsidRPr="00652A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       </w:t>
      </w:r>
      <w:r w:rsidR="00D32ECC" w:rsidRPr="00652A76">
        <w:rPr>
          <w:rFonts w:ascii="Times New Roman" w:eastAsia="Times New Roman" w:hAnsi="Times New Roman"/>
          <w:bCs/>
          <w:sz w:val="28"/>
          <w:szCs w:val="24"/>
          <w:lang w:eastAsia="ru-RU"/>
        </w:rPr>
        <w:t>п</w:t>
      </w:r>
      <w:r w:rsidR="0069321E" w:rsidRPr="00652A76">
        <w:rPr>
          <w:rFonts w:ascii="Times New Roman" w:eastAsia="Times New Roman" w:hAnsi="Times New Roman"/>
          <w:bCs/>
          <w:sz w:val="28"/>
          <w:szCs w:val="24"/>
          <w:lang w:eastAsia="ru-RU"/>
        </w:rPr>
        <w:t>арацетамол                             500 мг</w:t>
      </w:r>
    </w:p>
    <w:p w14:paraId="0C257A8C" w14:textId="77777777" w:rsidR="0069321E" w:rsidRPr="00652A76" w:rsidRDefault="0069321E" w:rsidP="006932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652A7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</w:t>
      </w:r>
      <w:r w:rsidR="00D32ECC" w:rsidRPr="00652A7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к</w:t>
      </w:r>
      <w:r w:rsidRPr="00652A7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офеин                                      25 мг </w:t>
      </w:r>
    </w:p>
    <w:p w14:paraId="14DB0A87" w14:textId="77777777" w:rsidR="0069321E" w:rsidRPr="00652A76" w:rsidRDefault="0069321E" w:rsidP="006932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652A7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</w:t>
      </w:r>
      <w:r w:rsidR="00D32ECC" w:rsidRPr="00652A7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  ф</w:t>
      </w:r>
      <w:r w:rsidRPr="00652A7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енилэфрина гидрохлорид     5 мг </w:t>
      </w:r>
    </w:p>
    <w:p w14:paraId="322FA354" w14:textId="77777777" w:rsidR="0069321E" w:rsidRPr="00652A76" w:rsidRDefault="0069321E" w:rsidP="006932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652A7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</w:t>
      </w:r>
      <w:r w:rsidR="00D32ECC" w:rsidRPr="00652A7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  т</w:t>
      </w:r>
      <w:r w:rsidRPr="00652A76">
        <w:rPr>
          <w:rFonts w:ascii="Times New Roman" w:eastAsia="Times New Roman" w:hAnsi="Times New Roman"/>
          <w:bCs/>
          <w:sz w:val="28"/>
          <w:szCs w:val="24"/>
          <w:lang w:eastAsia="ru-RU"/>
        </w:rPr>
        <w:t>ерпингидрат                           20 мг</w:t>
      </w:r>
    </w:p>
    <w:p w14:paraId="68998F86" w14:textId="77777777" w:rsidR="0069321E" w:rsidRPr="00652A76" w:rsidRDefault="0069321E" w:rsidP="006932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</w:pPr>
      <w:r w:rsidRPr="00652A7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</w:t>
      </w:r>
      <w:r w:rsidR="00D32ECC" w:rsidRPr="00652A7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  к</w:t>
      </w:r>
      <w:r w:rsidRPr="00652A76">
        <w:rPr>
          <w:rFonts w:ascii="Times New Roman" w:eastAsia="Times New Roman" w:hAnsi="Times New Roman"/>
          <w:bCs/>
          <w:sz w:val="28"/>
          <w:szCs w:val="24"/>
          <w:lang w:eastAsia="ru-RU"/>
        </w:rPr>
        <w:t>ислота аскорбиновая            30 мг</w:t>
      </w:r>
      <w:r w:rsidRPr="00652A76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 xml:space="preserve"> </w:t>
      </w:r>
    </w:p>
    <w:p w14:paraId="662408DB" w14:textId="77777777" w:rsidR="006B7A90" w:rsidRPr="00652A76" w:rsidRDefault="006B7A90" w:rsidP="006932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F749918" w14:textId="77777777" w:rsidR="006B7A90" w:rsidRPr="00652A76" w:rsidRDefault="006B7A90" w:rsidP="00844CE8">
      <w:pPr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</w:rPr>
      </w:pPr>
      <w:r w:rsidRPr="00652A76">
        <w:rPr>
          <w:rFonts w:ascii="Times New Roman" w:hAnsi="Times New Roman"/>
          <w:i/>
          <w:iCs/>
          <w:sz w:val="28"/>
          <w:szCs w:val="28"/>
        </w:rPr>
        <w:t xml:space="preserve">вспомогательные вещества: </w:t>
      </w:r>
      <w:r w:rsidR="008E1BF5" w:rsidRPr="00652A76">
        <w:rPr>
          <w:rFonts w:ascii="Times New Roman" w:hAnsi="Times New Roman"/>
          <w:iCs/>
          <w:spacing w:val="-2"/>
          <w:sz w:val="28"/>
          <w:szCs w:val="28"/>
        </w:rPr>
        <w:t>крахмал кукурузный, тальк очищенный, магния стеарат, натрия крахмала гликолят, динатрия эдетат, вода очищенная</w:t>
      </w:r>
    </w:p>
    <w:p w14:paraId="0721F7E7" w14:textId="77777777" w:rsidR="008E1BF5" w:rsidRPr="00652A76" w:rsidRDefault="008E1BF5" w:rsidP="008E1B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состав оболочки:</w:t>
      </w:r>
      <w:r w:rsidRPr="00652A76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готовая смесь красителя солнечный закат желтый (Е 110), поливинилпирролидон К 30, краситель солнечный закат желтый (Е 110), этилцеллюлоза, метиленхлорид, изопропиловый спирт</w:t>
      </w:r>
    </w:p>
    <w:p w14:paraId="3D3005A7" w14:textId="77777777" w:rsidR="0070375E" w:rsidRPr="00652A76" w:rsidRDefault="0070375E" w:rsidP="008E1B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6559C00" w14:textId="77777777" w:rsidR="006B7A90" w:rsidRPr="00652A76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</w:p>
    <w:bookmarkEnd w:id="8"/>
    <w:p w14:paraId="4D4E9F04" w14:textId="77777777" w:rsidR="006B7A90" w:rsidRPr="00652A76" w:rsidRDefault="00F60855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>Круглые двояковыпуклые таблетки, покрытые пленочной оболочкой оранжевого цвета с мраморностью, ядро светло-оранжевого цвета с вкраплениями оранжевого и белого цвета.</w:t>
      </w:r>
    </w:p>
    <w:p w14:paraId="5C372F66" w14:textId="77777777" w:rsidR="0070375E" w:rsidRPr="00652A76" w:rsidRDefault="0070375E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2238D1" w14:textId="77777777" w:rsidR="00C9308C" w:rsidRPr="00652A76" w:rsidRDefault="001D3F17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9" w:name="2175220287"/>
      <w:r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</w:t>
      </w:r>
      <w:r w:rsidR="00C9308C"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>выпуска  и упаковка</w:t>
      </w:r>
    </w:p>
    <w:p w14:paraId="57EA7ED2" w14:textId="77777777" w:rsidR="00F60855" w:rsidRPr="00652A76" w:rsidRDefault="00F60855" w:rsidP="00F608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>По 12 таблеток помещают в контурную ячейковую упаковку из пленки поливинилхлоридной и фольги алюминиевой.</w:t>
      </w:r>
    </w:p>
    <w:p w14:paraId="5A101069" w14:textId="77777777" w:rsidR="00F60855" w:rsidRPr="00652A76" w:rsidRDefault="00F60855" w:rsidP="00F608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 контурную ячейковую упаковку вместе с инструкцией по медицинс</w:t>
      </w:r>
      <w:r w:rsidR="00A336A3" w:rsidRPr="00652A76">
        <w:rPr>
          <w:rFonts w:ascii="Times New Roman" w:eastAsia="Times New Roman" w:hAnsi="Times New Roman"/>
          <w:sz w:val="28"/>
          <w:szCs w:val="28"/>
          <w:lang w:eastAsia="ru-RU"/>
        </w:rPr>
        <w:t>кому применению на казахск</w:t>
      </w: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>ом и русском языках помещают в коробку из картона.</w:t>
      </w:r>
    </w:p>
    <w:p w14:paraId="355268FB" w14:textId="77777777" w:rsidR="00F60855" w:rsidRPr="00652A76" w:rsidRDefault="00F60855" w:rsidP="00F608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 xml:space="preserve">По 4 таблетки помещают в контурную безъячейковую упаковку из фольги алюминиевой. 1 контурную безъячейковую упаковку вкладывают в конверт из картона. </w:t>
      </w:r>
    </w:p>
    <w:p w14:paraId="3592410C" w14:textId="77777777" w:rsidR="0069321E" w:rsidRPr="00652A76" w:rsidRDefault="00F60855" w:rsidP="00F608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>25 конвертов из картона вместе с инструкцией по медицинско</w:t>
      </w:r>
      <w:r w:rsidR="00A336A3" w:rsidRPr="00652A76">
        <w:rPr>
          <w:rFonts w:ascii="Times New Roman" w:eastAsia="Times New Roman" w:hAnsi="Times New Roman"/>
          <w:sz w:val="28"/>
          <w:szCs w:val="28"/>
          <w:lang w:eastAsia="ru-RU"/>
        </w:rPr>
        <w:t>му применению на казахском</w:t>
      </w: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 xml:space="preserve"> и русском языках помещают в коробку из картона.</w:t>
      </w:r>
    </w:p>
    <w:p w14:paraId="46D6375C" w14:textId="77777777" w:rsidR="0070375E" w:rsidRPr="00652A76" w:rsidRDefault="0070375E" w:rsidP="00F608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16A1A2" w14:textId="77777777" w:rsidR="00844CE8" w:rsidRPr="00652A76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36439C31" w14:textId="77777777" w:rsidR="008E1BF5" w:rsidRPr="00652A76" w:rsidRDefault="008E1BF5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>3 года</w:t>
      </w:r>
    </w:p>
    <w:p w14:paraId="5ACBE38F" w14:textId="77777777" w:rsidR="000E01AB" w:rsidRPr="00652A76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652A76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652A76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</w:p>
    <w:p w14:paraId="5AE5C408" w14:textId="77777777" w:rsidR="0070375E" w:rsidRPr="00652A76" w:rsidRDefault="0070375E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9E5401" w14:textId="77777777" w:rsidR="000E01AB" w:rsidRPr="00652A76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0" w:name="2175220288"/>
      <w:bookmarkEnd w:id="9"/>
      <w:r w:rsidRPr="00652A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14:paraId="44096FD2" w14:textId="77777777" w:rsidR="00A97FA0" w:rsidRPr="00652A76" w:rsidRDefault="00A97FA0" w:rsidP="00844CE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защищенном от света месте, при температуре не выше 25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о</w:t>
      </w:r>
      <w:r w:rsidR="00FA31D2"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</w:p>
    <w:p w14:paraId="3913B3BD" w14:textId="77777777" w:rsidR="00D14D61" w:rsidRPr="00652A76" w:rsidRDefault="00D14D61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76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11" w:name="2175220289"/>
      <w:bookmarkEnd w:id="10"/>
    </w:p>
    <w:bookmarkEnd w:id="11"/>
    <w:p w14:paraId="43E33B71" w14:textId="77777777" w:rsidR="006B7A90" w:rsidRPr="00652A76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6C3976" w14:textId="77777777" w:rsidR="006C6558" w:rsidRPr="00652A76" w:rsidRDefault="006C6558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2A76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14:paraId="75E554C8" w14:textId="77777777" w:rsidR="006C6558" w:rsidRPr="00652A76" w:rsidRDefault="0013793B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2A76">
        <w:rPr>
          <w:rFonts w:ascii="Times New Roman" w:hAnsi="Times New Roman"/>
          <w:color w:val="000000"/>
          <w:sz w:val="28"/>
          <w:szCs w:val="28"/>
        </w:rPr>
        <w:t>Без  рецепта</w:t>
      </w:r>
    </w:p>
    <w:p w14:paraId="79F272AA" w14:textId="77777777" w:rsidR="00446E23" w:rsidRPr="00652A76" w:rsidRDefault="00446E23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525E741" w14:textId="77777777" w:rsidR="00D76048" w:rsidRPr="00652A76" w:rsidRDefault="007C1693" w:rsidP="00BF3FE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7A25A06C" w14:textId="77777777" w:rsidR="00891819" w:rsidRPr="00652A76" w:rsidRDefault="00891819" w:rsidP="0089181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Наброс Фарма Пвт. Лтд. </w:t>
      </w:r>
    </w:p>
    <w:p w14:paraId="10883A16" w14:textId="77777777" w:rsidR="00891819" w:rsidRPr="00652A76" w:rsidRDefault="00D42740" w:rsidP="0089181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Нешиона</w:t>
      </w:r>
      <w:r w:rsidR="00891819"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 Хайве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 № </w:t>
      </w:r>
      <w:r w:rsidR="00891819"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8, 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Каджипура, Кхеда-387</w:t>
      </w:r>
      <w:r w:rsidR="00891819"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411, Индия</w:t>
      </w:r>
    </w:p>
    <w:p w14:paraId="5529125E" w14:textId="77777777" w:rsidR="00FE7FCC" w:rsidRPr="00652A76" w:rsidRDefault="00FE7FCC" w:rsidP="006C00C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2A76">
        <w:rPr>
          <w:rFonts w:ascii="Times New Roman" w:hAnsi="Times New Roman"/>
          <w:color w:val="000000"/>
          <w:sz w:val="28"/>
          <w:szCs w:val="28"/>
        </w:rPr>
        <w:t>Тел: +91-9909923324/ +91-9727798827</w:t>
      </w:r>
    </w:p>
    <w:p w14:paraId="23B278B7" w14:textId="77777777" w:rsidR="006C00C5" w:rsidRPr="00652A76" w:rsidRDefault="006C00C5" w:rsidP="006C00C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2A76">
        <w:rPr>
          <w:rFonts w:ascii="Times New Roman" w:hAnsi="Times New Roman"/>
          <w:color w:val="000000"/>
          <w:sz w:val="28"/>
          <w:szCs w:val="28"/>
        </w:rPr>
        <w:t xml:space="preserve">Адрес электронной почты: </w:t>
      </w:r>
      <w:hyperlink r:id="rId9" w:history="1">
        <w:r w:rsidR="000445E5" w:rsidRPr="00652A76">
          <w:rPr>
            <w:rStyle w:val="af"/>
            <w:rFonts w:ascii="Times New Roman" w:hAnsi="Times New Roman"/>
            <w:sz w:val="28"/>
            <w:szCs w:val="28"/>
          </w:rPr>
          <w:t>nabros-pharma@nabros.in</w:t>
        </w:r>
      </w:hyperlink>
    </w:p>
    <w:p w14:paraId="10CDD2C9" w14:textId="77777777" w:rsidR="003E5BE3" w:rsidRPr="00652A76" w:rsidRDefault="003E5BE3" w:rsidP="006C00C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2A76">
        <w:rPr>
          <w:rFonts w:ascii="Times New Roman" w:hAnsi="Times New Roman"/>
          <w:color w:val="000000"/>
          <w:sz w:val="28"/>
          <w:szCs w:val="28"/>
        </w:rPr>
        <w:t>Адрес сайта: www.nabros.in</w:t>
      </w:r>
    </w:p>
    <w:p w14:paraId="431C1561" w14:textId="77777777" w:rsidR="005B60DB" w:rsidRPr="00652A76" w:rsidRDefault="005B60DB" w:rsidP="00844CE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76CF219" w14:textId="77777777" w:rsidR="00D76048" w:rsidRPr="00652A76" w:rsidRDefault="00C8298C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>Держатель</w:t>
      </w:r>
      <w:r w:rsidR="00D76048"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199063FA" w14:textId="77777777" w:rsidR="0013793B" w:rsidRPr="00652A76" w:rsidRDefault="00D44639" w:rsidP="0013793B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b/>
          <w:sz w:val="28"/>
          <w:lang w:bidi="ru-RU"/>
        </w:rPr>
      </w:pPr>
      <w:r w:rsidRPr="00652A76">
        <w:rPr>
          <w:rFonts w:eastAsia="Microsoft Sans Serif"/>
          <w:b/>
          <w:sz w:val="28"/>
          <w:lang w:bidi="ru-RU"/>
        </w:rPr>
        <w:t xml:space="preserve">Наброс Фарма Пвт. Лтд. </w:t>
      </w:r>
    </w:p>
    <w:p w14:paraId="53583ED1" w14:textId="77777777" w:rsidR="003E5BE3" w:rsidRPr="00652A76" w:rsidRDefault="00C8298C" w:rsidP="003E5BE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Нешионал Хайвей № </w:t>
      </w:r>
      <w:r w:rsidR="003E5BE3"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8, </w:t>
      </w:r>
      <w:r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Каджипура, Кхеда-387</w:t>
      </w:r>
      <w:r w:rsidR="003E5BE3" w:rsidRPr="00652A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411, Индия</w:t>
      </w:r>
    </w:p>
    <w:p w14:paraId="7B6EBF53" w14:textId="77777777" w:rsidR="00FE7FCC" w:rsidRPr="00652A76" w:rsidRDefault="00FE7FCC" w:rsidP="003E5B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2A76">
        <w:rPr>
          <w:rFonts w:ascii="Times New Roman" w:hAnsi="Times New Roman"/>
          <w:color w:val="000000"/>
          <w:sz w:val="28"/>
          <w:szCs w:val="28"/>
        </w:rPr>
        <w:t>Тел: +91-9909923324/ +91-9727798827</w:t>
      </w:r>
    </w:p>
    <w:p w14:paraId="62AEC677" w14:textId="77777777" w:rsidR="003E5BE3" w:rsidRPr="00652A76" w:rsidRDefault="003E5BE3" w:rsidP="003E5B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2A76">
        <w:rPr>
          <w:rFonts w:ascii="Times New Roman" w:hAnsi="Times New Roman"/>
          <w:color w:val="000000"/>
          <w:sz w:val="28"/>
          <w:szCs w:val="28"/>
        </w:rPr>
        <w:t xml:space="preserve">Адрес электронной почты: </w:t>
      </w:r>
      <w:hyperlink r:id="rId10" w:history="1">
        <w:r w:rsidR="00A03A66" w:rsidRPr="00652A76">
          <w:rPr>
            <w:rStyle w:val="af"/>
            <w:rFonts w:ascii="Times New Roman" w:hAnsi="Times New Roman"/>
            <w:sz w:val="28"/>
            <w:szCs w:val="28"/>
          </w:rPr>
          <w:t>nabros-pharma@nabros.in</w:t>
        </w:r>
      </w:hyperlink>
    </w:p>
    <w:p w14:paraId="6600B20C" w14:textId="77777777" w:rsidR="003E5BE3" w:rsidRPr="00652A76" w:rsidRDefault="003E5BE3" w:rsidP="003E5B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2A76">
        <w:rPr>
          <w:rFonts w:ascii="Times New Roman" w:hAnsi="Times New Roman"/>
          <w:color w:val="000000"/>
          <w:sz w:val="28"/>
          <w:szCs w:val="28"/>
        </w:rPr>
        <w:t>Адрес сайта: www.nabros.in</w:t>
      </w:r>
    </w:p>
    <w:p w14:paraId="43BB6900" w14:textId="77777777" w:rsidR="00A97FA0" w:rsidRPr="00652A76" w:rsidRDefault="00A97FA0" w:rsidP="0013793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  <w:lang w:eastAsia="ru-RU"/>
        </w:rPr>
      </w:pPr>
    </w:p>
    <w:p w14:paraId="07B7FB65" w14:textId="77777777" w:rsidR="00022C8D" w:rsidRPr="00652A76" w:rsidRDefault="00022C8D" w:rsidP="00022C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Наименования, адрес и контактные данные (телефон,  факс,  электронная  почта) организации на территории Республики Казахстан, принимающей претензии (предложения) по качеству лекарственных средств от потребителей </w:t>
      </w:r>
    </w:p>
    <w:p w14:paraId="383415BA" w14:textId="77777777" w:rsidR="00931FA6" w:rsidRDefault="00022C8D" w:rsidP="00022C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 xml:space="preserve">ТОО Rogers Pharma, Казахстан, 050043, </w:t>
      </w:r>
    </w:p>
    <w:p w14:paraId="413257B6" w14:textId="77777777" w:rsidR="00022C8D" w:rsidRPr="00652A76" w:rsidRDefault="00022C8D" w:rsidP="00022C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>г. Алматы, мкн. Мирас, 157/819.</w:t>
      </w:r>
    </w:p>
    <w:p w14:paraId="435BC479" w14:textId="77777777" w:rsidR="00022C8D" w:rsidRPr="00652A76" w:rsidRDefault="00022C8D" w:rsidP="00022C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 xml:space="preserve">Тел. (727) 311-81-96/97, </w:t>
      </w:r>
      <w:r w:rsidRPr="00652A76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52A76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11" w:history="1">
        <w:r w:rsidRPr="00652A76">
          <w:rPr>
            <w:rStyle w:val="af"/>
            <w:rFonts w:ascii="Times New Roman" w:eastAsia="Times New Roman" w:hAnsi="Times New Roman"/>
            <w:sz w:val="28"/>
            <w:szCs w:val="28"/>
            <w:lang w:val="en-US" w:eastAsia="ru-RU"/>
          </w:rPr>
          <w:t>office</w:t>
        </w:r>
        <w:r w:rsidRPr="00652A76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652A76">
          <w:rPr>
            <w:rStyle w:val="af"/>
            <w:rFonts w:ascii="Times New Roman" w:eastAsia="Times New Roman" w:hAnsi="Times New Roman"/>
            <w:sz w:val="28"/>
            <w:szCs w:val="28"/>
            <w:lang w:val="en-US" w:eastAsia="ru-RU"/>
          </w:rPr>
          <w:t>secretary</w:t>
        </w:r>
        <w:r w:rsidRPr="00652A76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Pr="00652A76">
          <w:rPr>
            <w:rStyle w:val="af"/>
            <w:rFonts w:ascii="Times New Roman" w:eastAsia="Times New Roman" w:hAnsi="Times New Roman"/>
            <w:sz w:val="28"/>
            <w:szCs w:val="28"/>
            <w:lang w:val="en-US" w:eastAsia="ru-RU"/>
          </w:rPr>
          <w:t>rogersgroup</w:t>
        </w:r>
        <w:r w:rsidRPr="00652A76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652A76">
          <w:rPr>
            <w:rStyle w:val="af"/>
            <w:rFonts w:ascii="Times New Roman" w:eastAsia="Times New Roman" w:hAnsi="Times New Roman"/>
            <w:sz w:val="28"/>
            <w:szCs w:val="28"/>
            <w:lang w:val="en-US" w:eastAsia="ru-RU"/>
          </w:rPr>
          <w:t>in</w:t>
        </w:r>
      </w:hyperlink>
    </w:p>
    <w:p w14:paraId="328D2A41" w14:textId="77777777" w:rsidR="00022C8D" w:rsidRPr="00652A76" w:rsidRDefault="00022C8D" w:rsidP="00022C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C9AC059" w14:textId="77777777" w:rsidR="00022C8D" w:rsidRPr="00652A76" w:rsidRDefault="00022C8D" w:rsidP="00022C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Наименования, адрес и контактные данные (телефон,  факс,  электронная  почта) организации на территории Республики </w:t>
      </w:r>
      <w:r w:rsidRPr="00652A7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Казахстан, ответственной за пострегистрационное наблюдение за безопасностью лекарственного средства</w:t>
      </w:r>
    </w:p>
    <w:p w14:paraId="07D21424" w14:textId="77777777" w:rsidR="00931FA6" w:rsidRDefault="00022C8D" w:rsidP="00022C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 xml:space="preserve">Канумуру И. Г., Казахстан, 050043, </w:t>
      </w:r>
    </w:p>
    <w:p w14:paraId="215B5BA8" w14:textId="77777777" w:rsidR="00022C8D" w:rsidRPr="00652A76" w:rsidRDefault="00022C8D" w:rsidP="00022C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>г. Алматы, мкн. Мирас, 157/819.</w:t>
      </w:r>
    </w:p>
    <w:p w14:paraId="48D806CF" w14:textId="77777777" w:rsidR="00022C8D" w:rsidRPr="00931FA6" w:rsidRDefault="00022C8D" w:rsidP="00022C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76">
        <w:rPr>
          <w:rFonts w:ascii="Times New Roman" w:eastAsia="Times New Roman" w:hAnsi="Times New Roman"/>
          <w:sz w:val="28"/>
          <w:szCs w:val="28"/>
          <w:lang w:eastAsia="ru-RU"/>
        </w:rPr>
        <w:t>Тел</w:t>
      </w:r>
      <w:r w:rsidRPr="00931FA6">
        <w:rPr>
          <w:rFonts w:ascii="Times New Roman" w:eastAsia="Times New Roman" w:hAnsi="Times New Roman"/>
          <w:sz w:val="28"/>
          <w:szCs w:val="28"/>
          <w:lang w:eastAsia="ru-RU"/>
        </w:rPr>
        <w:t xml:space="preserve">. (727) 311-81-96/97, +77479911904, </w:t>
      </w:r>
      <w:r w:rsidRPr="00652A76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931FA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52A76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931FA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12" w:history="1">
        <w:r w:rsidRPr="00652A76">
          <w:rPr>
            <w:rStyle w:val="af"/>
            <w:rFonts w:ascii="Times New Roman" w:eastAsia="Times New Roman" w:hAnsi="Times New Roman"/>
            <w:sz w:val="28"/>
            <w:szCs w:val="28"/>
            <w:lang w:val="en-US" w:eastAsia="ru-RU"/>
          </w:rPr>
          <w:t>irina</w:t>
        </w:r>
        <w:r w:rsidRPr="00931FA6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652A76">
          <w:rPr>
            <w:rStyle w:val="af"/>
            <w:rFonts w:ascii="Times New Roman" w:eastAsia="Times New Roman" w:hAnsi="Times New Roman"/>
            <w:sz w:val="28"/>
            <w:szCs w:val="28"/>
            <w:lang w:val="en-US" w:eastAsia="ru-RU"/>
          </w:rPr>
          <w:t>volovnikova</w:t>
        </w:r>
        <w:r w:rsidRPr="00931FA6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Pr="00652A76">
          <w:rPr>
            <w:rStyle w:val="af"/>
            <w:rFonts w:ascii="Times New Roman" w:eastAsia="Times New Roman" w:hAnsi="Times New Roman"/>
            <w:sz w:val="28"/>
            <w:szCs w:val="28"/>
            <w:lang w:val="en-US" w:eastAsia="ru-RU"/>
          </w:rPr>
          <w:t>gmail</w:t>
        </w:r>
        <w:r w:rsidRPr="00931FA6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652A76">
          <w:rPr>
            <w:rStyle w:val="af"/>
            <w:rFonts w:ascii="Times New Roman" w:eastAsia="Times New Roman" w:hAnsi="Times New Roman"/>
            <w:sz w:val="28"/>
            <w:szCs w:val="28"/>
            <w:lang w:val="en-US" w:eastAsia="ru-RU"/>
          </w:rPr>
          <w:t>com</w:t>
        </w:r>
      </w:hyperlink>
    </w:p>
    <w:p w14:paraId="228A17AE" w14:textId="77777777" w:rsidR="00022C8D" w:rsidRPr="00931FA6" w:rsidRDefault="00022C8D" w:rsidP="00022C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BB37F1" w14:textId="77777777" w:rsidR="00EF4C53" w:rsidRPr="00931FA6" w:rsidRDefault="00575348" w:rsidP="00844CE8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  <w:r w:rsidRPr="00931FA6">
        <w:rPr>
          <w:rFonts w:ascii="Times New Roman" w:eastAsia="Times New Roman" w:hAnsi="Times New Roman"/>
          <w:sz w:val="32"/>
          <w:szCs w:val="28"/>
          <w:lang w:eastAsia="ru-RU"/>
        </w:rPr>
        <w:tab/>
      </w:r>
    </w:p>
    <w:p w14:paraId="775DE832" w14:textId="77777777" w:rsidR="003043BF" w:rsidRPr="00931FA6" w:rsidRDefault="003043BF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8A1C996" w14:textId="77777777" w:rsidR="00144CCD" w:rsidRPr="001540C6" w:rsidRDefault="00144CCD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14:paraId="21BF7069" w14:textId="77777777" w:rsidR="007E1A7B" w:rsidRPr="00931FA6" w:rsidRDefault="007E1A7B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8483BB8" w14:textId="77777777" w:rsidR="007E1A7B" w:rsidRPr="00931FA6" w:rsidRDefault="007E1A7B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27D7F0" w14:textId="77777777" w:rsidR="00844CE8" w:rsidRPr="00931FA6" w:rsidRDefault="00844CE8" w:rsidP="00844CE8">
      <w:pPr>
        <w:pStyle w:val="ConsPlusNormal"/>
        <w:ind w:firstLine="540"/>
        <w:jc w:val="both"/>
        <w:rPr>
          <w:sz w:val="28"/>
          <w:szCs w:val="28"/>
        </w:rPr>
      </w:pPr>
    </w:p>
    <w:p w14:paraId="1193E0B7" w14:textId="77777777" w:rsidR="002C76D7" w:rsidRPr="00931FA6" w:rsidRDefault="002C76D7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2C76D7" w:rsidRPr="00931FA6" w:rsidSect="00F97B57">
      <w:head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ED48F" w14:textId="77777777" w:rsidR="00381E37" w:rsidRDefault="00381E37" w:rsidP="00D275FC">
      <w:pPr>
        <w:spacing w:after="0" w:line="240" w:lineRule="auto"/>
      </w:pPr>
      <w:r>
        <w:separator/>
      </w:r>
    </w:p>
  </w:endnote>
  <w:endnote w:type="continuationSeparator" w:id="0">
    <w:p w14:paraId="394E6788" w14:textId="77777777" w:rsidR="00381E37" w:rsidRDefault="00381E37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D90A" w14:textId="77777777" w:rsidR="00381E37" w:rsidRDefault="00381E37" w:rsidP="00D275FC">
      <w:pPr>
        <w:spacing w:after="0" w:line="240" w:lineRule="auto"/>
      </w:pPr>
      <w:r>
        <w:separator/>
      </w:r>
    </w:p>
  </w:footnote>
  <w:footnote w:type="continuationSeparator" w:id="0">
    <w:p w14:paraId="0BBFBB55" w14:textId="77777777" w:rsidR="00381E37" w:rsidRDefault="00381E37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A09E" w14:textId="77777777" w:rsidR="00D275FC" w:rsidRDefault="00033085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FF3C17" wp14:editId="75B11040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C9558C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F3C17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24C9558C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10371"/>
    <w:rsid w:val="000161CE"/>
    <w:rsid w:val="00022C8D"/>
    <w:rsid w:val="00022E50"/>
    <w:rsid w:val="000264BB"/>
    <w:rsid w:val="00030F49"/>
    <w:rsid w:val="00033085"/>
    <w:rsid w:val="00033A9E"/>
    <w:rsid w:val="00033FC1"/>
    <w:rsid w:val="00034159"/>
    <w:rsid w:val="00037840"/>
    <w:rsid w:val="00042999"/>
    <w:rsid w:val="000445E5"/>
    <w:rsid w:val="00053E27"/>
    <w:rsid w:val="00054BB2"/>
    <w:rsid w:val="00066AF9"/>
    <w:rsid w:val="00071C3C"/>
    <w:rsid w:val="000852A1"/>
    <w:rsid w:val="00086103"/>
    <w:rsid w:val="000905B9"/>
    <w:rsid w:val="000972E6"/>
    <w:rsid w:val="000A0D71"/>
    <w:rsid w:val="000A52C2"/>
    <w:rsid w:val="000C2C4B"/>
    <w:rsid w:val="000C4C48"/>
    <w:rsid w:val="000D4CA7"/>
    <w:rsid w:val="000E01AB"/>
    <w:rsid w:val="000E2116"/>
    <w:rsid w:val="000E2683"/>
    <w:rsid w:val="000E49F0"/>
    <w:rsid w:val="000E57C6"/>
    <w:rsid w:val="000E6126"/>
    <w:rsid w:val="000E6B78"/>
    <w:rsid w:val="00100406"/>
    <w:rsid w:val="0010720B"/>
    <w:rsid w:val="00107A8A"/>
    <w:rsid w:val="00110448"/>
    <w:rsid w:val="00111788"/>
    <w:rsid w:val="00121DB4"/>
    <w:rsid w:val="00123D5F"/>
    <w:rsid w:val="00132B9A"/>
    <w:rsid w:val="0013620E"/>
    <w:rsid w:val="00136426"/>
    <w:rsid w:val="001368AE"/>
    <w:rsid w:val="0013793B"/>
    <w:rsid w:val="00144CCD"/>
    <w:rsid w:val="0014739A"/>
    <w:rsid w:val="001540C6"/>
    <w:rsid w:val="0015490C"/>
    <w:rsid w:val="001573E2"/>
    <w:rsid w:val="0016278D"/>
    <w:rsid w:val="0016685D"/>
    <w:rsid w:val="0018603A"/>
    <w:rsid w:val="001932BE"/>
    <w:rsid w:val="001937AD"/>
    <w:rsid w:val="001951FB"/>
    <w:rsid w:val="001A1784"/>
    <w:rsid w:val="001A2CB2"/>
    <w:rsid w:val="001A57F7"/>
    <w:rsid w:val="001A5CCF"/>
    <w:rsid w:val="001B6AEC"/>
    <w:rsid w:val="001C60DF"/>
    <w:rsid w:val="001D10D7"/>
    <w:rsid w:val="001D3F17"/>
    <w:rsid w:val="001E6F4C"/>
    <w:rsid w:val="001F16AA"/>
    <w:rsid w:val="001F3DC1"/>
    <w:rsid w:val="001F3E5C"/>
    <w:rsid w:val="00203355"/>
    <w:rsid w:val="002061AA"/>
    <w:rsid w:val="00211005"/>
    <w:rsid w:val="00217D41"/>
    <w:rsid w:val="00222CA6"/>
    <w:rsid w:val="00232642"/>
    <w:rsid w:val="00232EEA"/>
    <w:rsid w:val="00234D39"/>
    <w:rsid w:val="00237697"/>
    <w:rsid w:val="00250EDB"/>
    <w:rsid w:val="00256E10"/>
    <w:rsid w:val="00260413"/>
    <w:rsid w:val="00260EBC"/>
    <w:rsid w:val="00264710"/>
    <w:rsid w:val="00267567"/>
    <w:rsid w:val="00270B0A"/>
    <w:rsid w:val="00281FBE"/>
    <w:rsid w:val="002850CD"/>
    <w:rsid w:val="00287594"/>
    <w:rsid w:val="00290D2E"/>
    <w:rsid w:val="00292715"/>
    <w:rsid w:val="0029497B"/>
    <w:rsid w:val="002970FC"/>
    <w:rsid w:val="002A591C"/>
    <w:rsid w:val="002B3270"/>
    <w:rsid w:val="002C10E1"/>
    <w:rsid w:val="002C15EB"/>
    <w:rsid w:val="002C1660"/>
    <w:rsid w:val="002C35A2"/>
    <w:rsid w:val="002C5345"/>
    <w:rsid w:val="002C63E5"/>
    <w:rsid w:val="002C76D7"/>
    <w:rsid w:val="002C783C"/>
    <w:rsid w:val="002D3F8E"/>
    <w:rsid w:val="002D5374"/>
    <w:rsid w:val="002D56B7"/>
    <w:rsid w:val="002E0BAD"/>
    <w:rsid w:val="002F4A14"/>
    <w:rsid w:val="003019D0"/>
    <w:rsid w:val="00302607"/>
    <w:rsid w:val="00302EE5"/>
    <w:rsid w:val="003043BF"/>
    <w:rsid w:val="003125C8"/>
    <w:rsid w:val="00317835"/>
    <w:rsid w:val="00320073"/>
    <w:rsid w:val="003233F1"/>
    <w:rsid w:val="003244DA"/>
    <w:rsid w:val="003262DF"/>
    <w:rsid w:val="003312EE"/>
    <w:rsid w:val="003356B2"/>
    <w:rsid w:val="003473CF"/>
    <w:rsid w:val="0036288F"/>
    <w:rsid w:val="00363DF3"/>
    <w:rsid w:val="00365B10"/>
    <w:rsid w:val="003662F1"/>
    <w:rsid w:val="00367BA7"/>
    <w:rsid w:val="003761C0"/>
    <w:rsid w:val="003779A1"/>
    <w:rsid w:val="003812B2"/>
    <w:rsid w:val="00381E37"/>
    <w:rsid w:val="00383CDB"/>
    <w:rsid w:val="00384F08"/>
    <w:rsid w:val="003879F9"/>
    <w:rsid w:val="00391C9D"/>
    <w:rsid w:val="003949D9"/>
    <w:rsid w:val="003974BC"/>
    <w:rsid w:val="003A035E"/>
    <w:rsid w:val="003A30D3"/>
    <w:rsid w:val="003A3D7E"/>
    <w:rsid w:val="003A5482"/>
    <w:rsid w:val="003B0285"/>
    <w:rsid w:val="003C6CC4"/>
    <w:rsid w:val="003D08F7"/>
    <w:rsid w:val="003D69A1"/>
    <w:rsid w:val="003D6B56"/>
    <w:rsid w:val="003E13CF"/>
    <w:rsid w:val="003E1A63"/>
    <w:rsid w:val="003E5BE3"/>
    <w:rsid w:val="003F5344"/>
    <w:rsid w:val="003F7EDC"/>
    <w:rsid w:val="0040096E"/>
    <w:rsid w:val="00404548"/>
    <w:rsid w:val="00407A7A"/>
    <w:rsid w:val="0041068E"/>
    <w:rsid w:val="0041162E"/>
    <w:rsid w:val="00423545"/>
    <w:rsid w:val="0042497D"/>
    <w:rsid w:val="0042786D"/>
    <w:rsid w:val="00433C62"/>
    <w:rsid w:val="00434D01"/>
    <w:rsid w:val="00437ED8"/>
    <w:rsid w:val="004453AC"/>
    <w:rsid w:val="00446E23"/>
    <w:rsid w:val="004515E3"/>
    <w:rsid w:val="00466475"/>
    <w:rsid w:val="00472EF5"/>
    <w:rsid w:val="00475442"/>
    <w:rsid w:val="0048687C"/>
    <w:rsid w:val="00496995"/>
    <w:rsid w:val="00497AC8"/>
    <w:rsid w:val="004A31B4"/>
    <w:rsid w:val="004C1922"/>
    <w:rsid w:val="004C462F"/>
    <w:rsid w:val="004D49E9"/>
    <w:rsid w:val="004E00CA"/>
    <w:rsid w:val="004E2E30"/>
    <w:rsid w:val="004F178F"/>
    <w:rsid w:val="00502E87"/>
    <w:rsid w:val="00505CDF"/>
    <w:rsid w:val="005071DA"/>
    <w:rsid w:val="00512C02"/>
    <w:rsid w:val="00516D48"/>
    <w:rsid w:val="005233E9"/>
    <w:rsid w:val="00523BAA"/>
    <w:rsid w:val="00523D82"/>
    <w:rsid w:val="00533243"/>
    <w:rsid w:val="00540FA3"/>
    <w:rsid w:val="00541A00"/>
    <w:rsid w:val="005444B2"/>
    <w:rsid w:val="00545EFA"/>
    <w:rsid w:val="00552F8B"/>
    <w:rsid w:val="005539D4"/>
    <w:rsid w:val="00561FE7"/>
    <w:rsid w:val="005624E8"/>
    <w:rsid w:val="00563C21"/>
    <w:rsid w:val="00575348"/>
    <w:rsid w:val="005779DE"/>
    <w:rsid w:val="005869C5"/>
    <w:rsid w:val="00587C04"/>
    <w:rsid w:val="005A3C81"/>
    <w:rsid w:val="005A5680"/>
    <w:rsid w:val="005A6639"/>
    <w:rsid w:val="005A6914"/>
    <w:rsid w:val="005B3FFE"/>
    <w:rsid w:val="005B60DB"/>
    <w:rsid w:val="005B762D"/>
    <w:rsid w:val="005C1519"/>
    <w:rsid w:val="005C1C4E"/>
    <w:rsid w:val="005C1D03"/>
    <w:rsid w:val="005C4A16"/>
    <w:rsid w:val="005C4B12"/>
    <w:rsid w:val="005D68C6"/>
    <w:rsid w:val="005D7EE3"/>
    <w:rsid w:val="005E50DE"/>
    <w:rsid w:val="005F7097"/>
    <w:rsid w:val="00600DCF"/>
    <w:rsid w:val="0060347A"/>
    <w:rsid w:val="0060364A"/>
    <w:rsid w:val="0060595F"/>
    <w:rsid w:val="0061650D"/>
    <w:rsid w:val="00617843"/>
    <w:rsid w:val="00620F34"/>
    <w:rsid w:val="006224B4"/>
    <w:rsid w:val="00624C1B"/>
    <w:rsid w:val="00625471"/>
    <w:rsid w:val="00627853"/>
    <w:rsid w:val="006330A4"/>
    <w:rsid w:val="00634D0C"/>
    <w:rsid w:val="00652A76"/>
    <w:rsid w:val="00652BCE"/>
    <w:rsid w:val="00652E29"/>
    <w:rsid w:val="00653617"/>
    <w:rsid w:val="00655A32"/>
    <w:rsid w:val="0065683F"/>
    <w:rsid w:val="006615E8"/>
    <w:rsid w:val="006703A5"/>
    <w:rsid w:val="0067049A"/>
    <w:rsid w:val="0067136B"/>
    <w:rsid w:val="00681103"/>
    <w:rsid w:val="00687250"/>
    <w:rsid w:val="00691208"/>
    <w:rsid w:val="00693014"/>
    <w:rsid w:val="0069321E"/>
    <w:rsid w:val="006A23C4"/>
    <w:rsid w:val="006A6264"/>
    <w:rsid w:val="006A702E"/>
    <w:rsid w:val="006B7A90"/>
    <w:rsid w:val="006C00C5"/>
    <w:rsid w:val="006C577B"/>
    <w:rsid w:val="006C5F38"/>
    <w:rsid w:val="006C6558"/>
    <w:rsid w:val="006D225C"/>
    <w:rsid w:val="006D2562"/>
    <w:rsid w:val="006D53FC"/>
    <w:rsid w:val="006D69ED"/>
    <w:rsid w:val="006D7D5A"/>
    <w:rsid w:val="006E4305"/>
    <w:rsid w:val="006F5763"/>
    <w:rsid w:val="006F787C"/>
    <w:rsid w:val="00701FA5"/>
    <w:rsid w:val="007024E8"/>
    <w:rsid w:val="0070288B"/>
    <w:rsid w:val="0070375E"/>
    <w:rsid w:val="00704BAB"/>
    <w:rsid w:val="007104D1"/>
    <w:rsid w:val="007135A6"/>
    <w:rsid w:val="00722553"/>
    <w:rsid w:val="0072470E"/>
    <w:rsid w:val="00725E7B"/>
    <w:rsid w:val="00732F32"/>
    <w:rsid w:val="00733A73"/>
    <w:rsid w:val="00735602"/>
    <w:rsid w:val="00736B6C"/>
    <w:rsid w:val="00745BD4"/>
    <w:rsid w:val="00745CFF"/>
    <w:rsid w:val="00746FF2"/>
    <w:rsid w:val="00747F73"/>
    <w:rsid w:val="00761133"/>
    <w:rsid w:val="00764E84"/>
    <w:rsid w:val="007762F8"/>
    <w:rsid w:val="0077674D"/>
    <w:rsid w:val="00783520"/>
    <w:rsid w:val="00786F24"/>
    <w:rsid w:val="00790B33"/>
    <w:rsid w:val="007A02D3"/>
    <w:rsid w:val="007A18B1"/>
    <w:rsid w:val="007C055A"/>
    <w:rsid w:val="007C0DFE"/>
    <w:rsid w:val="007C1693"/>
    <w:rsid w:val="007C4548"/>
    <w:rsid w:val="007C7D2A"/>
    <w:rsid w:val="007D0E84"/>
    <w:rsid w:val="007D6539"/>
    <w:rsid w:val="007D681B"/>
    <w:rsid w:val="007E1A7B"/>
    <w:rsid w:val="007E1D85"/>
    <w:rsid w:val="007E5B48"/>
    <w:rsid w:val="007E702A"/>
    <w:rsid w:val="007F7007"/>
    <w:rsid w:val="00806684"/>
    <w:rsid w:val="008068F7"/>
    <w:rsid w:val="0081154A"/>
    <w:rsid w:val="00811C40"/>
    <w:rsid w:val="00812250"/>
    <w:rsid w:val="00820B36"/>
    <w:rsid w:val="008250FA"/>
    <w:rsid w:val="00825140"/>
    <w:rsid w:val="00827BB2"/>
    <w:rsid w:val="008329DA"/>
    <w:rsid w:val="008330E7"/>
    <w:rsid w:val="008353A4"/>
    <w:rsid w:val="00835A9C"/>
    <w:rsid w:val="008372C6"/>
    <w:rsid w:val="00844CE8"/>
    <w:rsid w:val="00844D9E"/>
    <w:rsid w:val="00847154"/>
    <w:rsid w:val="0086657B"/>
    <w:rsid w:val="00871ADA"/>
    <w:rsid w:val="008832E5"/>
    <w:rsid w:val="008907F5"/>
    <w:rsid w:val="00891711"/>
    <w:rsid w:val="00891819"/>
    <w:rsid w:val="008939F7"/>
    <w:rsid w:val="00894923"/>
    <w:rsid w:val="00897669"/>
    <w:rsid w:val="008B3C02"/>
    <w:rsid w:val="008C0181"/>
    <w:rsid w:val="008C3E54"/>
    <w:rsid w:val="008D2203"/>
    <w:rsid w:val="008D2C87"/>
    <w:rsid w:val="008D4451"/>
    <w:rsid w:val="008D62B7"/>
    <w:rsid w:val="008E1BF5"/>
    <w:rsid w:val="008E6169"/>
    <w:rsid w:val="008E64BC"/>
    <w:rsid w:val="008E6895"/>
    <w:rsid w:val="008F483A"/>
    <w:rsid w:val="00900B3C"/>
    <w:rsid w:val="00904FB5"/>
    <w:rsid w:val="0091136C"/>
    <w:rsid w:val="009157ED"/>
    <w:rsid w:val="0092361B"/>
    <w:rsid w:val="00925EF7"/>
    <w:rsid w:val="00930D7D"/>
    <w:rsid w:val="00931FA6"/>
    <w:rsid w:val="009449CE"/>
    <w:rsid w:val="0095047E"/>
    <w:rsid w:val="00956101"/>
    <w:rsid w:val="00962CD6"/>
    <w:rsid w:val="00964283"/>
    <w:rsid w:val="00993A60"/>
    <w:rsid w:val="00994BF1"/>
    <w:rsid w:val="00996F90"/>
    <w:rsid w:val="009B014E"/>
    <w:rsid w:val="009B7B6C"/>
    <w:rsid w:val="009D1510"/>
    <w:rsid w:val="009D71D5"/>
    <w:rsid w:val="009E2887"/>
    <w:rsid w:val="009E5CB9"/>
    <w:rsid w:val="009E721F"/>
    <w:rsid w:val="009F31F2"/>
    <w:rsid w:val="009F45A5"/>
    <w:rsid w:val="009F503F"/>
    <w:rsid w:val="00A01C2E"/>
    <w:rsid w:val="00A02BB2"/>
    <w:rsid w:val="00A03A66"/>
    <w:rsid w:val="00A04052"/>
    <w:rsid w:val="00A12452"/>
    <w:rsid w:val="00A12563"/>
    <w:rsid w:val="00A336A3"/>
    <w:rsid w:val="00A5285F"/>
    <w:rsid w:val="00A7064E"/>
    <w:rsid w:val="00A8185B"/>
    <w:rsid w:val="00A97FA0"/>
    <w:rsid w:val="00AA1EC8"/>
    <w:rsid w:val="00AA5E2F"/>
    <w:rsid w:val="00AA7317"/>
    <w:rsid w:val="00AC2C0B"/>
    <w:rsid w:val="00AC4905"/>
    <w:rsid w:val="00AD3E0E"/>
    <w:rsid w:val="00AE7922"/>
    <w:rsid w:val="00B01011"/>
    <w:rsid w:val="00B05606"/>
    <w:rsid w:val="00B11878"/>
    <w:rsid w:val="00B148DC"/>
    <w:rsid w:val="00B20BDC"/>
    <w:rsid w:val="00B25027"/>
    <w:rsid w:val="00B2645D"/>
    <w:rsid w:val="00B46F30"/>
    <w:rsid w:val="00B556E4"/>
    <w:rsid w:val="00B608C1"/>
    <w:rsid w:val="00B60D3D"/>
    <w:rsid w:val="00B61D95"/>
    <w:rsid w:val="00B73692"/>
    <w:rsid w:val="00B81FB1"/>
    <w:rsid w:val="00B9013F"/>
    <w:rsid w:val="00B9187F"/>
    <w:rsid w:val="00BB3050"/>
    <w:rsid w:val="00BB3A51"/>
    <w:rsid w:val="00BB7831"/>
    <w:rsid w:val="00BC31BC"/>
    <w:rsid w:val="00BC6167"/>
    <w:rsid w:val="00BE3594"/>
    <w:rsid w:val="00BE4435"/>
    <w:rsid w:val="00BE6B71"/>
    <w:rsid w:val="00BF3FE5"/>
    <w:rsid w:val="00BF4088"/>
    <w:rsid w:val="00C011B2"/>
    <w:rsid w:val="00C07BB3"/>
    <w:rsid w:val="00C15525"/>
    <w:rsid w:val="00C2000E"/>
    <w:rsid w:val="00C3305C"/>
    <w:rsid w:val="00C379C9"/>
    <w:rsid w:val="00C40EB5"/>
    <w:rsid w:val="00C422B8"/>
    <w:rsid w:val="00C45A00"/>
    <w:rsid w:val="00C566D6"/>
    <w:rsid w:val="00C66E44"/>
    <w:rsid w:val="00C7243B"/>
    <w:rsid w:val="00C8298C"/>
    <w:rsid w:val="00C839ED"/>
    <w:rsid w:val="00C84299"/>
    <w:rsid w:val="00C846FC"/>
    <w:rsid w:val="00C8770B"/>
    <w:rsid w:val="00C91BAE"/>
    <w:rsid w:val="00C92F14"/>
    <w:rsid w:val="00C9308C"/>
    <w:rsid w:val="00C97365"/>
    <w:rsid w:val="00CA114A"/>
    <w:rsid w:val="00CA18A1"/>
    <w:rsid w:val="00CA319E"/>
    <w:rsid w:val="00CC08BA"/>
    <w:rsid w:val="00CC0D34"/>
    <w:rsid w:val="00CC330A"/>
    <w:rsid w:val="00CC4CEF"/>
    <w:rsid w:val="00CC5137"/>
    <w:rsid w:val="00CC5727"/>
    <w:rsid w:val="00CC7DBD"/>
    <w:rsid w:val="00CE38C0"/>
    <w:rsid w:val="00CF3849"/>
    <w:rsid w:val="00CF3EBA"/>
    <w:rsid w:val="00CF7C1C"/>
    <w:rsid w:val="00D0233C"/>
    <w:rsid w:val="00D066FC"/>
    <w:rsid w:val="00D102FB"/>
    <w:rsid w:val="00D11462"/>
    <w:rsid w:val="00D14D61"/>
    <w:rsid w:val="00D17AE8"/>
    <w:rsid w:val="00D22A47"/>
    <w:rsid w:val="00D275FC"/>
    <w:rsid w:val="00D318B9"/>
    <w:rsid w:val="00D32254"/>
    <w:rsid w:val="00D32ECC"/>
    <w:rsid w:val="00D3576E"/>
    <w:rsid w:val="00D4140E"/>
    <w:rsid w:val="00D417C1"/>
    <w:rsid w:val="00D42740"/>
    <w:rsid w:val="00D43297"/>
    <w:rsid w:val="00D43BA7"/>
    <w:rsid w:val="00D43C0A"/>
    <w:rsid w:val="00D44639"/>
    <w:rsid w:val="00D46B0B"/>
    <w:rsid w:val="00D46BAB"/>
    <w:rsid w:val="00D46E40"/>
    <w:rsid w:val="00D53BFD"/>
    <w:rsid w:val="00D55ED8"/>
    <w:rsid w:val="00D65A39"/>
    <w:rsid w:val="00D65FD3"/>
    <w:rsid w:val="00D70DB6"/>
    <w:rsid w:val="00D76048"/>
    <w:rsid w:val="00D90191"/>
    <w:rsid w:val="00D93C80"/>
    <w:rsid w:val="00D96A8F"/>
    <w:rsid w:val="00DB1FFB"/>
    <w:rsid w:val="00DB406A"/>
    <w:rsid w:val="00DB45EF"/>
    <w:rsid w:val="00DC032C"/>
    <w:rsid w:val="00DC4624"/>
    <w:rsid w:val="00DC6DAA"/>
    <w:rsid w:val="00DE69CD"/>
    <w:rsid w:val="00DF11A7"/>
    <w:rsid w:val="00DF49E0"/>
    <w:rsid w:val="00E01283"/>
    <w:rsid w:val="00E03E8D"/>
    <w:rsid w:val="00E101EC"/>
    <w:rsid w:val="00E12FCD"/>
    <w:rsid w:val="00E162ED"/>
    <w:rsid w:val="00E271CB"/>
    <w:rsid w:val="00E34FE3"/>
    <w:rsid w:val="00E55D6C"/>
    <w:rsid w:val="00E56B69"/>
    <w:rsid w:val="00E57396"/>
    <w:rsid w:val="00E57A0F"/>
    <w:rsid w:val="00E81A1B"/>
    <w:rsid w:val="00E81A86"/>
    <w:rsid w:val="00E8607B"/>
    <w:rsid w:val="00E91073"/>
    <w:rsid w:val="00E93583"/>
    <w:rsid w:val="00E9382F"/>
    <w:rsid w:val="00EA2F86"/>
    <w:rsid w:val="00EA2FB6"/>
    <w:rsid w:val="00EA44C0"/>
    <w:rsid w:val="00EA6D39"/>
    <w:rsid w:val="00EB1D97"/>
    <w:rsid w:val="00EB5638"/>
    <w:rsid w:val="00ED7921"/>
    <w:rsid w:val="00EF4C53"/>
    <w:rsid w:val="00EF506E"/>
    <w:rsid w:val="00F006F1"/>
    <w:rsid w:val="00F05E12"/>
    <w:rsid w:val="00F07184"/>
    <w:rsid w:val="00F07B7B"/>
    <w:rsid w:val="00F11A17"/>
    <w:rsid w:val="00F14AF3"/>
    <w:rsid w:val="00F15475"/>
    <w:rsid w:val="00F23B95"/>
    <w:rsid w:val="00F324D0"/>
    <w:rsid w:val="00F40388"/>
    <w:rsid w:val="00F410F5"/>
    <w:rsid w:val="00F437EA"/>
    <w:rsid w:val="00F504C7"/>
    <w:rsid w:val="00F52866"/>
    <w:rsid w:val="00F60855"/>
    <w:rsid w:val="00F63389"/>
    <w:rsid w:val="00F66C51"/>
    <w:rsid w:val="00F71820"/>
    <w:rsid w:val="00F71F29"/>
    <w:rsid w:val="00F74322"/>
    <w:rsid w:val="00F7731D"/>
    <w:rsid w:val="00F8747E"/>
    <w:rsid w:val="00F91977"/>
    <w:rsid w:val="00F97B57"/>
    <w:rsid w:val="00FA31D2"/>
    <w:rsid w:val="00FA4F7C"/>
    <w:rsid w:val="00FB0456"/>
    <w:rsid w:val="00FB1145"/>
    <w:rsid w:val="00FB47F4"/>
    <w:rsid w:val="00FD2B12"/>
    <w:rsid w:val="00FD2B9F"/>
    <w:rsid w:val="00FD39E2"/>
    <w:rsid w:val="00FD4F66"/>
    <w:rsid w:val="00FE0A77"/>
    <w:rsid w:val="00FE566D"/>
    <w:rsid w:val="00FE75F0"/>
    <w:rsid w:val="00FE7B6D"/>
    <w:rsid w:val="00FE7FCC"/>
    <w:rsid w:val="00FF0EC9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85F37"/>
  <w15:docId w15:val="{AFABFBF2-5AA6-401D-ADB8-5015459B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BE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/>
      <w:sz w:val="20"/>
      <w:szCs w:val="20"/>
      <w:lang w:val="x-none" w:eastAsia="x-none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B1145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link w:val="afa"/>
    <w:uiPriority w:val="99"/>
    <w:semiHidden/>
    <w:rsid w:val="00FB1145"/>
    <w:rPr>
      <w:rFonts w:ascii="Times New Roman" w:eastAsia="Times New Roman" w:hAnsi="Times New Roman" w:cs="Arial Unicode MS"/>
      <w:b/>
      <w:bCs/>
      <w:lang w:val="en-GB" w:eastAsia="en-US" w:bidi="ml-IN"/>
    </w:rPr>
  </w:style>
  <w:style w:type="paragraph" w:customStyle="1" w:styleId="Style5">
    <w:name w:val="Style5"/>
    <w:basedOn w:val="a"/>
    <w:uiPriority w:val="99"/>
    <w:rsid w:val="0013793B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31F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31FA6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l.tuyakova\Downloads\irina.volovniko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l.tuyakova\Downloads\office.secretary@rogersgroup.i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l.tuyakova\Downloads\nabros-pharma@nabros.i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.tuyakova\Downloads\nabros-pharma@nabros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1275E-3CCB-4519-9457-D6DE0359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2169</Words>
  <Characters>12364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14504</CharactersWithSpaces>
  <SharedDoc>false</SharedDoc>
  <HLinks>
    <vt:vector size="6" baseType="variant"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3</cp:revision>
  <cp:lastPrinted>2018-03-22T06:08:00Z</cp:lastPrinted>
  <dcterms:created xsi:type="dcterms:W3CDTF">2023-08-23T09:54:00Z</dcterms:created>
  <dcterms:modified xsi:type="dcterms:W3CDTF">2025-08-25T10:25:00Z</dcterms:modified>
</cp:coreProperties>
</file>